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E5F17">
      <w:pPr>
        <w:spacing w:after="80"/>
        <w:jc w:val="center"/>
        <w:rPr>
          <w:rFonts w:ascii="Times New Roman" w:hAnsi="Times New Roman" w:eastAsia="宋体" w:cs="Times New Roman"/>
          <w:b/>
          <w:sz w:val="36"/>
          <w:szCs w:val="36"/>
        </w:rPr>
      </w:pPr>
      <w:r>
        <w:rPr>
          <w:rFonts w:ascii="Times New Roman" w:hAnsi="Times New Roman" w:eastAsia="方正小标宋简体" w:cs="Times New Roman"/>
          <w:sz w:val="36"/>
          <w:szCs w:val="36"/>
        </w:rPr>
        <w:t>《</w:t>
      </w:r>
      <w:r>
        <w:rPr>
          <w:rFonts w:hint="eastAsia" w:ascii="Times New Roman" w:hAnsi="Times New Roman" w:eastAsia="方正小标宋简体" w:cs="Times New Roman"/>
          <w:sz w:val="36"/>
          <w:szCs w:val="36"/>
        </w:rPr>
        <w:t>火炬松速生丰产用材林培育技术规程</w:t>
      </w:r>
      <w:r>
        <w:rPr>
          <w:rFonts w:ascii="Times New Roman" w:hAnsi="Times New Roman" w:eastAsia="方正小标宋简体" w:cs="Times New Roman"/>
          <w:sz w:val="36"/>
          <w:szCs w:val="36"/>
        </w:rPr>
        <w:t>》编制说明</w:t>
      </w:r>
    </w:p>
    <w:p w14:paraId="4A1B2A3C">
      <w:pPr>
        <w:pStyle w:val="2"/>
        <w:ind w:firstLine="640" w:firstLineChars="20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一、 工作简况</w:t>
      </w:r>
    </w:p>
    <w:p w14:paraId="1E0308A5">
      <w:pPr>
        <w:spacing w:after="80" w:line="360" w:lineRule="auto"/>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（一）任务来源</w:t>
      </w:r>
    </w:p>
    <w:p w14:paraId="435ED520">
      <w:pPr>
        <w:spacing w:after="80" w:line="360" w:lineRule="auto"/>
        <w:ind w:firstLine="640" w:firstLineChars="200"/>
        <w:rPr>
          <w:rFonts w:ascii="Times New Roman" w:hAnsi="Times New Roman" w:eastAsia="宋体" w:cs="Times New Roman"/>
          <w:sz w:val="24"/>
          <w:szCs w:val="24"/>
        </w:rPr>
      </w:pPr>
      <w:r>
        <w:rPr>
          <w:rFonts w:hint="eastAsia" w:ascii="仿宋_GB2312" w:eastAsia="仿宋_GB2312"/>
          <w:bCs/>
          <w:sz w:val="32"/>
          <w:szCs w:val="32"/>
        </w:rPr>
        <w:t>《火炬松</w:t>
      </w:r>
      <w:r>
        <w:rPr>
          <w:rFonts w:hint="eastAsia" w:ascii="仿宋_GB2312" w:eastAsia="仿宋_GB2312"/>
          <w:bCs/>
          <w:sz w:val="32"/>
          <w:szCs w:val="32"/>
          <w:lang w:val="en-US" w:eastAsia="zh-CN"/>
        </w:rPr>
        <w:t>速生丰产用材林培育</w:t>
      </w:r>
      <w:r>
        <w:rPr>
          <w:rFonts w:hint="eastAsia" w:ascii="仿宋_GB2312" w:eastAsia="仿宋_GB2312"/>
          <w:bCs/>
          <w:sz w:val="32"/>
          <w:szCs w:val="32"/>
        </w:rPr>
        <w:t>技术规程》标准编制项目系江西省市场监管局202</w:t>
      </w:r>
      <w:r>
        <w:rPr>
          <w:rFonts w:hint="eastAsia" w:ascii="仿宋_GB2312" w:eastAsia="仿宋_GB2312"/>
          <w:bCs/>
          <w:sz w:val="32"/>
          <w:szCs w:val="32"/>
          <w:lang w:val="en-US" w:eastAsia="zh-CN"/>
        </w:rPr>
        <w:t>5</w:t>
      </w:r>
      <w:r>
        <w:rPr>
          <w:rFonts w:hint="eastAsia" w:ascii="仿宋_GB2312" w:eastAsia="仿宋_GB2312"/>
          <w:bCs/>
          <w:sz w:val="32"/>
          <w:szCs w:val="32"/>
        </w:rPr>
        <w:t>年第一批江西省地方标准制订</w:t>
      </w:r>
      <w:r>
        <w:rPr>
          <w:rFonts w:hint="eastAsia" w:ascii="仿宋_GB2312" w:eastAsia="仿宋_GB2312"/>
          <w:bCs/>
          <w:sz w:val="32"/>
          <w:szCs w:val="32"/>
          <w:lang w:val="en-US" w:eastAsia="zh-CN"/>
        </w:rPr>
        <w:t>计划</w:t>
      </w:r>
      <w:r>
        <w:rPr>
          <w:rFonts w:hint="eastAsia" w:ascii="仿宋_GB2312" w:eastAsia="仿宋_GB2312"/>
          <w:bCs/>
          <w:sz w:val="32"/>
          <w:szCs w:val="32"/>
        </w:rPr>
        <w:t>项目，项目编号：DB36-2025-1-04。</w:t>
      </w:r>
    </w:p>
    <w:p w14:paraId="4B498C2E">
      <w:pPr>
        <w:spacing w:after="80" w:line="360" w:lineRule="auto"/>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（二）起草单位</w:t>
      </w:r>
    </w:p>
    <w:p w14:paraId="56DB2516">
      <w:pPr>
        <w:spacing w:after="80" w:line="360" w:lineRule="auto"/>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本标准由江西省林业科学院、安福县武功山林场共同起草。</w:t>
      </w:r>
    </w:p>
    <w:p w14:paraId="345B8F01">
      <w:pPr>
        <w:spacing w:after="80" w:line="360" w:lineRule="auto"/>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（三）主要起草人</w:t>
      </w:r>
    </w:p>
    <w:tbl>
      <w:tblPr>
        <w:tblStyle w:val="16"/>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841"/>
        <w:gridCol w:w="1782"/>
        <w:gridCol w:w="2693"/>
        <w:gridCol w:w="2410"/>
      </w:tblGrid>
      <w:tr w14:paraId="7E626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200" w:type="dxa"/>
            <w:shd w:val="clear" w:color="auto" w:fill="auto"/>
            <w:vAlign w:val="center"/>
          </w:tcPr>
          <w:p w14:paraId="69BF7B87">
            <w:pPr>
              <w:jc w:val="center"/>
              <w:rPr>
                <w:rFonts w:ascii="宋体" w:hAnsi="宋体" w:eastAsia="宋体" w:cs="Times New Roman"/>
                <w:sz w:val="28"/>
                <w:szCs w:val="28"/>
              </w:rPr>
            </w:pPr>
            <w:r>
              <w:rPr>
                <w:rFonts w:ascii="宋体" w:hAnsi="宋体" w:eastAsia="宋体" w:cs="Times New Roman"/>
                <w:sz w:val="28"/>
                <w:szCs w:val="28"/>
              </w:rPr>
              <w:t>姓 名</w:t>
            </w:r>
          </w:p>
        </w:tc>
        <w:tc>
          <w:tcPr>
            <w:tcW w:w="841" w:type="dxa"/>
            <w:shd w:val="clear" w:color="auto" w:fill="auto"/>
            <w:vAlign w:val="center"/>
          </w:tcPr>
          <w:p w14:paraId="4E4C88C2">
            <w:pPr>
              <w:jc w:val="center"/>
              <w:rPr>
                <w:rFonts w:ascii="宋体" w:hAnsi="宋体" w:eastAsia="宋体" w:cs="Times New Roman"/>
                <w:sz w:val="28"/>
                <w:szCs w:val="28"/>
              </w:rPr>
            </w:pPr>
            <w:r>
              <w:rPr>
                <w:rFonts w:ascii="宋体" w:hAnsi="宋体" w:eastAsia="宋体" w:cs="Times New Roman"/>
                <w:sz w:val="28"/>
                <w:szCs w:val="28"/>
              </w:rPr>
              <w:t>性别</w:t>
            </w:r>
          </w:p>
        </w:tc>
        <w:tc>
          <w:tcPr>
            <w:tcW w:w="1782" w:type="dxa"/>
            <w:shd w:val="clear" w:color="auto" w:fill="auto"/>
            <w:vAlign w:val="center"/>
          </w:tcPr>
          <w:p w14:paraId="6FCD910E">
            <w:pPr>
              <w:jc w:val="center"/>
              <w:rPr>
                <w:rFonts w:ascii="宋体" w:hAnsi="宋体" w:eastAsia="宋体" w:cs="Times New Roman"/>
                <w:sz w:val="28"/>
                <w:szCs w:val="28"/>
              </w:rPr>
            </w:pPr>
            <w:r>
              <w:rPr>
                <w:rFonts w:ascii="宋体" w:hAnsi="宋体" w:eastAsia="宋体" w:cs="Times New Roman"/>
                <w:sz w:val="28"/>
                <w:szCs w:val="28"/>
              </w:rPr>
              <w:t>职务/职称</w:t>
            </w:r>
          </w:p>
        </w:tc>
        <w:tc>
          <w:tcPr>
            <w:tcW w:w="2693" w:type="dxa"/>
            <w:shd w:val="clear" w:color="auto" w:fill="auto"/>
            <w:vAlign w:val="center"/>
          </w:tcPr>
          <w:p w14:paraId="78D91E7A">
            <w:pPr>
              <w:jc w:val="center"/>
              <w:rPr>
                <w:rFonts w:ascii="宋体" w:hAnsi="宋体" w:eastAsia="宋体" w:cs="Times New Roman"/>
                <w:sz w:val="28"/>
                <w:szCs w:val="28"/>
              </w:rPr>
            </w:pPr>
            <w:r>
              <w:rPr>
                <w:rFonts w:ascii="宋体" w:hAnsi="宋体" w:eastAsia="宋体" w:cs="Times New Roman"/>
                <w:sz w:val="28"/>
                <w:szCs w:val="28"/>
              </w:rPr>
              <w:t>工作单位</w:t>
            </w:r>
          </w:p>
        </w:tc>
        <w:tc>
          <w:tcPr>
            <w:tcW w:w="2410" w:type="dxa"/>
            <w:shd w:val="clear" w:color="auto" w:fill="auto"/>
            <w:vAlign w:val="center"/>
          </w:tcPr>
          <w:p w14:paraId="38964B83">
            <w:pPr>
              <w:jc w:val="center"/>
              <w:rPr>
                <w:rFonts w:ascii="宋体" w:hAnsi="宋体" w:eastAsia="宋体" w:cs="Times New Roman"/>
                <w:sz w:val="28"/>
                <w:szCs w:val="28"/>
              </w:rPr>
            </w:pPr>
            <w:r>
              <w:rPr>
                <w:rFonts w:ascii="宋体" w:hAnsi="宋体" w:eastAsia="宋体" w:cs="Times New Roman"/>
                <w:sz w:val="28"/>
                <w:szCs w:val="28"/>
              </w:rPr>
              <w:t>任务分工</w:t>
            </w:r>
          </w:p>
        </w:tc>
      </w:tr>
      <w:tr w14:paraId="457F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200" w:type="dxa"/>
            <w:shd w:val="clear" w:color="auto" w:fill="auto"/>
            <w:vAlign w:val="center"/>
          </w:tcPr>
          <w:p w14:paraId="6D23C9B7">
            <w:pPr>
              <w:jc w:val="center"/>
              <w:rPr>
                <w:rFonts w:ascii="宋体" w:hAnsi="宋体" w:eastAsia="宋体" w:cs="Times New Roman"/>
                <w:sz w:val="28"/>
                <w:szCs w:val="28"/>
              </w:rPr>
            </w:pPr>
            <w:r>
              <w:rPr>
                <w:rFonts w:ascii="宋体" w:hAnsi="宋体" w:eastAsia="宋体" w:cs="Times New Roman"/>
                <w:sz w:val="28"/>
                <w:szCs w:val="28"/>
              </w:rPr>
              <w:t>杨春霞</w:t>
            </w:r>
          </w:p>
        </w:tc>
        <w:tc>
          <w:tcPr>
            <w:tcW w:w="841" w:type="dxa"/>
            <w:shd w:val="clear" w:color="auto" w:fill="auto"/>
            <w:vAlign w:val="center"/>
          </w:tcPr>
          <w:p w14:paraId="7100CDAB">
            <w:pPr>
              <w:jc w:val="center"/>
              <w:rPr>
                <w:rFonts w:ascii="宋体" w:hAnsi="宋体" w:eastAsia="宋体" w:cs="Times New Roman"/>
                <w:sz w:val="28"/>
                <w:szCs w:val="28"/>
              </w:rPr>
            </w:pPr>
            <w:r>
              <w:rPr>
                <w:rFonts w:ascii="宋体" w:hAnsi="宋体" w:eastAsia="宋体" w:cs="Times New Roman"/>
                <w:sz w:val="28"/>
                <w:szCs w:val="28"/>
              </w:rPr>
              <w:t>女</w:t>
            </w:r>
          </w:p>
        </w:tc>
        <w:tc>
          <w:tcPr>
            <w:tcW w:w="1782" w:type="dxa"/>
            <w:shd w:val="clear" w:color="auto" w:fill="auto"/>
            <w:vAlign w:val="center"/>
          </w:tcPr>
          <w:p w14:paraId="0FB79C31">
            <w:pPr>
              <w:jc w:val="center"/>
              <w:rPr>
                <w:rFonts w:ascii="宋体" w:hAnsi="宋体" w:eastAsia="宋体" w:cs="Times New Roman"/>
                <w:sz w:val="28"/>
                <w:szCs w:val="28"/>
              </w:rPr>
            </w:pPr>
            <w:r>
              <w:rPr>
                <w:rFonts w:ascii="宋体" w:hAnsi="宋体" w:eastAsia="宋体" w:cs="Times New Roman"/>
                <w:sz w:val="28"/>
                <w:szCs w:val="28"/>
              </w:rPr>
              <w:t>副所/研究员</w:t>
            </w:r>
          </w:p>
        </w:tc>
        <w:tc>
          <w:tcPr>
            <w:tcW w:w="2693" w:type="dxa"/>
            <w:shd w:val="clear" w:color="auto" w:fill="auto"/>
            <w:vAlign w:val="center"/>
          </w:tcPr>
          <w:p w14:paraId="3915F273">
            <w:pPr>
              <w:jc w:val="center"/>
              <w:rPr>
                <w:rFonts w:ascii="宋体" w:hAnsi="宋体" w:eastAsia="宋体" w:cs="Times New Roman"/>
                <w:sz w:val="28"/>
                <w:szCs w:val="28"/>
              </w:rPr>
            </w:pPr>
            <w:r>
              <w:rPr>
                <w:rFonts w:ascii="宋体" w:hAnsi="宋体" w:eastAsia="宋体" w:cs="Times New Roman"/>
                <w:sz w:val="28"/>
                <w:szCs w:val="28"/>
              </w:rPr>
              <w:t>江西省林业科学院</w:t>
            </w:r>
          </w:p>
        </w:tc>
        <w:tc>
          <w:tcPr>
            <w:tcW w:w="2410" w:type="dxa"/>
            <w:shd w:val="clear" w:color="auto" w:fill="auto"/>
            <w:vAlign w:val="center"/>
          </w:tcPr>
          <w:p w14:paraId="1F0B6232">
            <w:pPr>
              <w:jc w:val="center"/>
              <w:rPr>
                <w:rFonts w:ascii="宋体" w:hAnsi="宋体" w:eastAsia="宋体" w:cs="Times New Roman"/>
                <w:sz w:val="28"/>
                <w:szCs w:val="28"/>
              </w:rPr>
            </w:pPr>
            <w:r>
              <w:rPr>
                <w:rFonts w:ascii="宋体" w:hAnsi="宋体" w:eastAsia="宋体" w:cs="Times New Roman"/>
                <w:spacing w:val="-23"/>
                <w:sz w:val="28"/>
                <w:szCs w:val="28"/>
              </w:rPr>
              <w:t>主持</w:t>
            </w:r>
          </w:p>
        </w:tc>
      </w:tr>
      <w:tr w14:paraId="043CC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200" w:type="dxa"/>
            <w:shd w:val="clear" w:color="auto" w:fill="auto"/>
            <w:vAlign w:val="center"/>
          </w:tcPr>
          <w:p w14:paraId="244A898A">
            <w:pPr>
              <w:jc w:val="center"/>
              <w:rPr>
                <w:rFonts w:ascii="宋体" w:hAnsi="宋体" w:eastAsia="宋体" w:cs="Times New Roman"/>
                <w:sz w:val="28"/>
                <w:szCs w:val="28"/>
              </w:rPr>
            </w:pPr>
            <w:r>
              <w:rPr>
                <w:rFonts w:hint="default" w:ascii="宋体" w:hAnsi="宋体" w:eastAsia="宋体" w:cs="Times New Roman"/>
                <w:sz w:val="28"/>
                <w:szCs w:val="28"/>
                <w:lang w:val="en-US" w:eastAsia="zh-CN"/>
              </w:rPr>
              <w:t>丁伟</w:t>
            </w:r>
          </w:p>
        </w:tc>
        <w:tc>
          <w:tcPr>
            <w:tcW w:w="841" w:type="dxa"/>
            <w:shd w:val="clear" w:color="auto" w:fill="auto"/>
            <w:vAlign w:val="center"/>
          </w:tcPr>
          <w:p w14:paraId="6BC268A0">
            <w:pPr>
              <w:jc w:val="center"/>
              <w:rPr>
                <w:rFonts w:ascii="宋体" w:hAnsi="宋体" w:eastAsia="宋体" w:cs="Times New Roman"/>
                <w:sz w:val="28"/>
                <w:szCs w:val="28"/>
              </w:rPr>
            </w:pPr>
            <w:r>
              <w:rPr>
                <w:rFonts w:ascii="宋体" w:hAnsi="宋体" w:eastAsia="宋体" w:cs="Times New Roman"/>
                <w:sz w:val="28"/>
                <w:szCs w:val="28"/>
              </w:rPr>
              <w:t>男</w:t>
            </w:r>
          </w:p>
        </w:tc>
        <w:tc>
          <w:tcPr>
            <w:tcW w:w="1782" w:type="dxa"/>
            <w:shd w:val="clear" w:color="auto" w:fill="auto"/>
            <w:vAlign w:val="center"/>
          </w:tcPr>
          <w:p w14:paraId="40DA2838">
            <w:pPr>
              <w:jc w:val="center"/>
              <w:rPr>
                <w:rFonts w:ascii="宋体" w:hAnsi="宋体" w:eastAsia="宋体" w:cs="Times New Roman"/>
                <w:sz w:val="28"/>
                <w:szCs w:val="28"/>
              </w:rPr>
            </w:pPr>
            <w:r>
              <w:rPr>
                <w:rFonts w:ascii="宋体" w:hAnsi="宋体" w:eastAsia="宋体" w:cs="Times New Roman"/>
                <w:sz w:val="28"/>
                <w:szCs w:val="28"/>
              </w:rPr>
              <w:t>助研</w:t>
            </w:r>
          </w:p>
        </w:tc>
        <w:tc>
          <w:tcPr>
            <w:tcW w:w="2693" w:type="dxa"/>
            <w:shd w:val="clear" w:color="auto" w:fill="auto"/>
            <w:vAlign w:val="center"/>
          </w:tcPr>
          <w:p w14:paraId="5E9B4F87">
            <w:pPr>
              <w:jc w:val="center"/>
              <w:rPr>
                <w:rFonts w:hint="eastAsia" w:ascii="宋体" w:hAnsi="宋体" w:eastAsia="宋体" w:cs="宋体"/>
                <w:sz w:val="28"/>
                <w:szCs w:val="28"/>
              </w:rPr>
            </w:pPr>
            <w:r>
              <w:rPr>
                <w:rFonts w:hint="eastAsia" w:ascii="宋体" w:hAnsi="宋体" w:eastAsia="宋体" w:cs="宋体"/>
                <w:sz w:val="28"/>
                <w:szCs w:val="28"/>
                <w:lang w:val="en-US" w:eastAsia="zh-CN"/>
              </w:rPr>
              <w:t>江西省林业科学院</w:t>
            </w:r>
          </w:p>
        </w:tc>
        <w:tc>
          <w:tcPr>
            <w:tcW w:w="2410" w:type="dxa"/>
            <w:shd w:val="clear" w:color="auto" w:fill="auto"/>
            <w:vAlign w:val="center"/>
          </w:tcPr>
          <w:p w14:paraId="0F153E95">
            <w:pPr>
              <w:jc w:val="center"/>
              <w:rPr>
                <w:rFonts w:ascii="宋体" w:hAnsi="宋体" w:eastAsia="宋体" w:cs="Times New Roman"/>
                <w:sz w:val="28"/>
                <w:szCs w:val="28"/>
              </w:rPr>
            </w:pPr>
            <w:r>
              <w:rPr>
                <w:rFonts w:ascii="宋体" w:hAnsi="宋体" w:eastAsia="宋体" w:cs="Times New Roman"/>
                <w:sz w:val="28"/>
                <w:szCs w:val="28"/>
              </w:rPr>
              <w:t>试验实施及调查</w:t>
            </w:r>
          </w:p>
        </w:tc>
      </w:tr>
      <w:tr w14:paraId="617D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200" w:type="dxa"/>
            <w:shd w:val="clear" w:color="auto" w:fill="auto"/>
            <w:vAlign w:val="center"/>
          </w:tcPr>
          <w:p w14:paraId="18C6B2BF">
            <w:pPr>
              <w:jc w:val="center"/>
              <w:rPr>
                <w:rFonts w:ascii="宋体" w:hAnsi="宋体" w:eastAsia="宋体" w:cs="Times New Roman"/>
                <w:sz w:val="28"/>
                <w:szCs w:val="28"/>
              </w:rPr>
            </w:pPr>
            <w:r>
              <w:rPr>
                <w:rFonts w:hint="default" w:ascii="宋体" w:hAnsi="宋体" w:eastAsia="宋体" w:cs="Times New Roman"/>
                <w:sz w:val="28"/>
                <w:szCs w:val="28"/>
                <w:lang w:val="en-US" w:eastAsia="zh-CN"/>
              </w:rPr>
              <w:t>黎志强</w:t>
            </w:r>
          </w:p>
        </w:tc>
        <w:tc>
          <w:tcPr>
            <w:tcW w:w="841" w:type="dxa"/>
            <w:shd w:val="clear" w:color="auto" w:fill="auto"/>
            <w:vAlign w:val="center"/>
          </w:tcPr>
          <w:p w14:paraId="5627C84C">
            <w:pPr>
              <w:jc w:val="center"/>
              <w:rPr>
                <w:rFonts w:ascii="宋体" w:hAnsi="宋体" w:eastAsia="宋体" w:cs="Times New Roman"/>
                <w:sz w:val="28"/>
                <w:szCs w:val="28"/>
              </w:rPr>
            </w:pPr>
            <w:r>
              <w:rPr>
                <w:rFonts w:ascii="宋体" w:hAnsi="宋体" w:eastAsia="宋体" w:cs="Times New Roman"/>
                <w:sz w:val="28"/>
                <w:szCs w:val="28"/>
              </w:rPr>
              <w:t>男</w:t>
            </w:r>
          </w:p>
        </w:tc>
        <w:tc>
          <w:tcPr>
            <w:tcW w:w="1782" w:type="dxa"/>
            <w:shd w:val="clear" w:color="auto" w:fill="auto"/>
            <w:vAlign w:val="center"/>
          </w:tcPr>
          <w:p w14:paraId="20ED9769">
            <w:pPr>
              <w:jc w:val="center"/>
              <w:rPr>
                <w:rFonts w:hint="eastAsia" w:ascii="宋体" w:hAnsi="宋体" w:eastAsia="宋体" w:cs="Times New Roman"/>
                <w:sz w:val="28"/>
                <w:szCs w:val="28"/>
                <w:lang w:eastAsia="zh-CN"/>
              </w:rPr>
            </w:pPr>
            <w:r>
              <w:rPr>
                <w:rFonts w:hint="eastAsia" w:ascii="宋体" w:hAnsi="宋体" w:eastAsia="宋体" w:cs="Times New Roman"/>
                <w:sz w:val="28"/>
                <w:szCs w:val="28"/>
                <w:lang w:val="en-US" w:eastAsia="zh-CN"/>
              </w:rPr>
              <w:t>场长</w:t>
            </w:r>
            <w:r>
              <w:rPr>
                <w:rFonts w:ascii="宋体" w:hAnsi="宋体" w:eastAsia="宋体" w:cs="Times New Roman"/>
                <w:sz w:val="28"/>
                <w:szCs w:val="28"/>
              </w:rPr>
              <w:t>/</w:t>
            </w:r>
            <w:r>
              <w:rPr>
                <w:rFonts w:hint="eastAsia" w:ascii="宋体" w:hAnsi="宋体" w:eastAsia="宋体" w:cs="Times New Roman"/>
                <w:sz w:val="28"/>
                <w:szCs w:val="28"/>
                <w:lang w:val="en-US" w:eastAsia="zh-CN"/>
              </w:rPr>
              <w:t>高工</w:t>
            </w:r>
          </w:p>
        </w:tc>
        <w:tc>
          <w:tcPr>
            <w:tcW w:w="2693" w:type="dxa"/>
            <w:shd w:val="clear" w:color="auto" w:fill="auto"/>
            <w:vAlign w:val="center"/>
          </w:tcPr>
          <w:p w14:paraId="2B1E3B64">
            <w:pPr>
              <w:jc w:val="center"/>
              <w:rPr>
                <w:rFonts w:hint="eastAsia" w:ascii="宋体" w:hAnsi="宋体" w:eastAsia="宋体" w:cs="宋体"/>
                <w:sz w:val="28"/>
                <w:szCs w:val="28"/>
              </w:rPr>
            </w:pPr>
            <w:r>
              <w:rPr>
                <w:rFonts w:hint="eastAsia" w:ascii="宋体" w:hAnsi="宋体" w:eastAsia="宋体" w:cs="宋体"/>
                <w:sz w:val="28"/>
                <w:szCs w:val="28"/>
                <w:lang w:val="en-US" w:eastAsia="zh-CN"/>
              </w:rPr>
              <w:t>安福县武功山林场</w:t>
            </w:r>
          </w:p>
        </w:tc>
        <w:tc>
          <w:tcPr>
            <w:tcW w:w="2410" w:type="dxa"/>
            <w:shd w:val="clear" w:color="auto" w:fill="auto"/>
            <w:vAlign w:val="center"/>
          </w:tcPr>
          <w:p w14:paraId="5D692483">
            <w:pPr>
              <w:jc w:val="center"/>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项目协调</w:t>
            </w:r>
          </w:p>
        </w:tc>
      </w:tr>
      <w:tr w14:paraId="3469F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200" w:type="dxa"/>
            <w:shd w:val="clear" w:color="auto" w:fill="auto"/>
            <w:vAlign w:val="center"/>
          </w:tcPr>
          <w:p w14:paraId="7BE37628">
            <w:pPr>
              <w:jc w:val="center"/>
              <w:rPr>
                <w:rFonts w:ascii="宋体" w:hAnsi="宋体" w:eastAsia="宋体" w:cs="Times New Roman"/>
                <w:sz w:val="28"/>
                <w:szCs w:val="28"/>
              </w:rPr>
            </w:pPr>
            <w:r>
              <w:rPr>
                <w:rFonts w:hint="default" w:ascii="宋体" w:hAnsi="宋体" w:eastAsia="宋体" w:cs="Times New Roman"/>
                <w:sz w:val="28"/>
                <w:szCs w:val="28"/>
                <w:lang w:val="en-US" w:eastAsia="zh-CN"/>
              </w:rPr>
              <w:t>周光</w:t>
            </w:r>
          </w:p>
        </w:tc>
        <w:tc>
          <w:tcPr>
            <w:tcW w:w="841" w:type="dxa"/>
            <w:shd w:val="clear" w:color="auto" w:fill="auto"/>
            <w:vAlign w:val="center"/>
          </w:tcPr>
          <w:p w14:paraId="7457A0C9">
            <w:pPr>
              <w:jc w:val="center"/>
              <w:rPr>
                <w:rFonts w:ascii="宋体" w:hAnsi="宋体" w:eastAsia="宋体" w:cs="Times New Roman"/>
                <w:sz w:val="28"/>
                <w:szCs w:val="28"/>
              </w:rPr>
            </w:pPr>
            <w:r>
              <w:rPr>
                <w:rFonts w:ascii="宋体" w:hAnsi="宋体" w:eastAsia="宋体" w:cs="Times New Roman"/>
                <w:sz w:val="28"/>
                <w:szCs w:val="28"/>
              </w:rPr>
              <w:t>男</w:t>
            </w:r>
          </w:p>
        </w:tc>
        <w:tc>
          <w:tcPr>
            <w:tcW w:w="1782" w:type="dxa"/>
            <w:shd w:val="clear" w:color="auto" w:fill="auto"/>
            <w:vAlign w:val="center"/>
          </w:tcPr>
          <w:p w14:paraId="144FAB51">
            <w:pPr>
              <w:jc w:val="center"/>
              <w:rPr>
                <w:rFonts w:hint="eastAsia" w:ascii="宋体" w:hAnsi="宋体" w:eastAsia="宋体" w:cs="Times New Roman"/>
                <w:sz w:val="28"/>
                <w:szCs w:val="28"/>
                <w:lang w:eastAsia="zh-CN"/>
              </w:rPr>
            </w:pPr>
            <w:r>
              <w:rPr>
                <w:rFonts w:hint="eastAsia" w:ascii="宋体" w:hAnsi="宋体" w:eastAsia="宋体" w:cs="Times New Roman"/>
                <w:sz w:val="28"/>
                <w:szCs w:val="28"/>
                <w:lang w:val="en-US" w:eastAsia="zh-CN"/>
              </w:rPr>
              <w:t>助研</w:t>
            </w:r>
          </w:p>
        </w:tc>
        <w:tc>
          <w:tcPr>
            <w:tcW w:w="2693" w:type="dxa"/>
            <w:shd w:val="clear" w:color="auto" w:fill="auto"/>
            <w:vAlign w:val="center"/>
          </w:tcPr>
          <w:p w14:paraId="6EB311E0">
            <w:pPr>
              <w:jc w:val="center"/>
              <w:rPr>
                <w:rFonts w:hint="eastAsia" w:ascii="宋体" w:hAnsi="宋体" w:eastAsia="宋体" w:cs="宋体"/>
                <w:sz w:val="28"/>
                <w:szCs w:val="28"/>
              </w:rPr>
            </w:pPr>
            <w:r>
              <w:rPr>
                <w:rFonts w:hint="eastAsia" w:ascii="宋体" w:hAnsi="宋体" w:eastAsia="宋体" w:cs="宋体"/>
                <w:sz w:val="28"/>
                <w:szCs w:val="28"/>
                <w:lang w:val="en-US" w:eastAsia="zh-CN"/>
              </w:rPr>
              <w:t>江西省林业科学院</w:t>
            </w:r>
          </w:p>
        </w:tc>
        <w:tc>
          <w:tcPr>
            <w:tcW w:w="2410" w:type="dxa"/>
            <w:shd w:val="clear" w:color="auto" w:fill="auto"/>
            <w:vAlign w:val="center"/>
          </w:tcPr>
          <w:p w14:paraId="699A8F4E">
            <w:pPr>
              <w:jc w:val="center"/>
              <w:rPr>
                <w:rFonts w:ascii="宋体" w:hAnsi="宋体" w:eastAsia="宋体" w:cs="Times New Roman"/>
                <w:sz w:val="28"/>
                <w:szCs w:val="28"/>
              </w:rPr>
            </w:pPr>
            <w:r>
              <w:rPr>
                <w:rFonts w:ascii="宋体" w:hAnsi="宋体" w:eastAsia="宋体" w:cs="Times New Roman"/>
                <w:sz w:val="28"/>
                <w:szCs w:val="28"/>
              </w:rPr>
              <w:t>试验实施</w:t>
            </w:r>
          </w:p>
        </w:tc>
      </w:tr>
      <w:tr w14:paraId="7A9F8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200" w:type="dxa"/>
            <w:shd w:val="clear" w:color="auto" w:fill="auto"/>
            <w:vAlign w:val="center"/>
          </w:tcPr>
          <w:p w14:paraId="607E4408">
            <w:pPr>
              <w:jc w:val="center"/>
              <w:rPr>
                <w:rFonts w:ascii="宋体" w:hAnsi="宋体" w:eastAsia="宋体" w:cs="Times New Roman"/>
                <w:sz w:val="28"/>
                <w:szCs w:val="28"/>
              </w:rPr>
            </w:pPr>
            <w:r>
              <w:rPr>
                <w:rFonts w:hint="default" w:ascii="宋体" w:hAnsi="宋体" w:eastAsia="宋体" w:cs="Times New Roman"/>
                <w:sz w:val="28"/>
                <w:szCs w:val="28"/>
                <w:lang w:val="en-US" w:eastAsia="zh-CN"/>
              </w:rPr>
              <w:t>谷振军</w:t>
            </w:r>
          </w:p>
        </w:tc>
        <w:tc>
          <w:tcPr>
            <w:tcW w:w="841" w:type="dxa"/>
            <w:shd w:val="clear" w:color="auto" w:fill="auto"/>
            <w:vAlign w:val="center"/>
          </w:tcPr>
          <w:p w14:paraId="379F3EE6">
            <w:pPr>
              <w:jc w:val="center"/>
              <w:rPr>
                <w:rFonts w:ascii="宋体" w:hAnsi="宋体" w:eastAsia="宋体" w:cs="Times New Roman"/>
                <w:sz w:val="28"/>
                <w:szCs w:val="28"/>
              </w:rPr>
            </w:pPr>
            <w:r>
              <w:rPr>
                <w:rFonts w:ascii="宋体" w:hAnsi="宋体" w:eastAsia="宋体" w:cs="Times New Roman"/>
                <w:sz w:val="28"/>
                <w:szCs w:val="28"/>
              </w:rPr>
              <w:t>男</w:t>
            </w:r>
          </w:p>
        </w:tc>
        <w:tc>
          <w:tcPr>
            <w:tcW w:w="1782" w:type="dxa"/>
            <w:shd w:val="clear" w:color="auto" w:fill="auto"/>
            <w:vAlign w:val="center"/>
          </w:tcPr>
          <w:p w14:paraId="61880319">
            <w:pPr>
              <w:jc w:val="center"/>
              <w:rPr>
                <w:rFonts w:hint="eastAsia" w:ascii="宋体" w:hAnsi="宋体" w:eastAsia="宋体" w:cs="Times New Roman"/>
                <w:sz w:val="28"/>
                <w:szCs w:val="28"/>
                <w:lang w:eastAsia="zh-CN"/>
              </w:rPr>
            </w:pPr>
            <w:r>
              <w:rPr>
                <w:rFonts w:hint="eastAsia" w:ascii="宋体" w:hAnsi="宋体" w:eastAsia="宋体" w:cs="Times New Roman"/>
                <w:sz w:val="28"/>
                <w:szCs w:val="28"/>
                <w:lang w:val="en-US" w:eastAsia="zh-CN"/>
              </w:rPr>
              <w:t>助研</w:t>
            </w:r>
          </w:p>
        </w:tc>
        <w:tc>
          <w:tcPr>
            <w:tcW w:w="2693" w:type="dxa"/>
            <w:shd w:val="clear" w:color="auto" w:fill="auto"/>
            <w:vAlign w:val="center"/>
          </w:tcPr>
          <w:p w14:paraId="4B6A0652">
            <w:pPr>
              <w:jc w:val="center"/>
              <w:rPr>
                <w:rFonts w:hint="eastAsia" w:ascii="宋体" w:hAnsi="宋体" w:eastAsia="宋体" w:cs="宋体"/>
                <w:sz w:val="28"/>
                <w:szCs w:val="28"/>
              </w:rPr>
            </w:pPr>
            <w:r>
              <w:rPr>
                <w:rFonts w:hint="eastAsia" w:ascii="宋体" w:hAnsi="宋体" w:eastAsia="宋体" w:cs="宋体"/>
                <w:sz w:val="28"/>
                <w:szCs w:val="28"/>
                <w:lang w:val="en-US" w:eastAsia="zh-CN"/>
              </w:rPr>
              <w:t>江西省林业科学院</w:t>
            </w:r>
          </w:p>
        </w:tc>
        <w:tc>
          <w:tcPr>
            <w:tcW w:w="2410" w:type="dxa"/>
            <w:shd w:val="clear" w:color="auto" w:fill="auto"/>
            <w:vAlign w:val="center"/>
          </w:tcPr>
          <w:p w14:paraId="116FCE36">
            <w:pPr>
              <w:jc w:val="center"/>
              <w:rPr>
                <w:rFonts w:ascii="宋体" w:hAnsi="宋体" w:eastAsia="宋体" w:cs="Times New Roman"/>
                <w:sz w:val="28"/>
                <w:szCs w:val="28"/>
              </w:rPr>
            </w:pPr>
            <w:r>
              <w:rPr>
                <w:rFonts w:ascii="宋体" w:hAnsi="宋体" w:eastAsia="宋体" w:cs="Times New Roman"/>
                <w:sz w:val="28"/>
                <w:szCs w:val="28"/>
              </w:rPr>
              <w:t>试验实施</w:t>
            </w:r>
          </w:p>
        </w:tc>
      </w:tr>
      <w:tr w14:paraId="2AE20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200" w:type="dxa"/>
            <w:shd w:val="clear" w:color="auto" w:fill="auto"/>
            <w:vAlign w:val="center"/>
          </w:tcPr>
          <w:p w14:paraId="0052B80A">
            <w:pPr>
              <w:jc w:val="center"/>
              <w:rPr>
                <w:rFonts w:ascii="宋体" w:hAnsi="宋体" w:eastAsia="宋体" w:cs="Times New Roman"/>
                <w:sz w:val="28"/>
                <w:szCs w:val="28"/>
              </w:rPr>
            </w:pPr>
            <w:r>
              <w:rPr>
                <w:rFonts w:hint="default" w:ascii="宋体" w:hAnsi="宋体" w:eastAsia="宋体" w:cs="Times New Roman"/>
                <w:sz w:val="28"/>
                <w:szCs w:val="28"/>
                <w:lang w:val="en-US" w:eastAsia="zh-CN"/>
              </w:rPr>
              <w:t>肖平江</w:t>
            </w:r>
          </w:p>
        </w:tc>
        <w:tc>
          <w:tcPr>
            <w:tcW w:w="841" w:type="dxa"/>
            <w:shd w:val="clear" w:color="auto" w:fill="auto"/>
            <w:vAlign w:val="center"/>
          </w:tcPr>
          <w:p w14:paraId="74B6162A">
            <w:pPr>
              <w:jc w:val="center"/>
              <w:rPr>
                <w:rFonts w:ascii="宋体" w:hAnsi="宋体" w:eastAsia="宋体" w:cs="Times New Roman"/>
                <w:sz w:val="28"/>
                <w:szCs w:val="28"/>
              </w:rPr>
            </w:pPr>
            <w:r>
              <w:rPr>
                <w:rFonts w:ascii="宋体" w:hAnsi="宋体" w:eastAsia="宋体" w:cs="Times New Roman"/>
                <w:sz w:val="28"/>
                <w:szCs w:val="28"/>
              </w:rPr>
              <w:t>男</w:t>
            </w:r>
          </w:p>
        </w:tc>
        <w:tc>
          <w:tcPr>
            <w:tcW w:w="1782" w:type="dxa"/>
            <w:shd w:val="clear" w:color="auto" w:fill="auto"/>
            <w:vAlign w:val="center"/>
          </w:tcPr>
          <w:p w14:paraId="022B9754">
            <w:pPr>
              <w:jc w:val="center"/>
              <w:rPr>
                <w:rFonts w:hint="eastAsia" w:ascii="宋体" w:hAnsi="宋体" w:eastAsia="宋体" w:cs="Times New Roman"/>
                <w:sz w:val="28"/>
                <w:szCs w:val="28"/>
                <w:lang w:eastAsia="zh-CN"/>
              </w:rPr>
            </w:pPr>
            <w:r>
              <w:rPr>
                <w:rFonts w:hint="eastAsia" w:ascii="宋体" w:hAnsi="宋体" w:eastAsia="宋体" w:cs="Times New Roman"/>
                <w:sz w:val="28"/>
                <w:szCs w:val="28"/>
                <w:lang w:val="en-US" w:eastAsia="zh-CN"/>
              </w:rPr>
              <w:t>工程师</w:t>
            </w:r>
          </w:p>
        </w:tc>
        <w:tc>
          <w:tcPr>
            <w:tcW w:w="2693" w:type="dxa"/>
            <w:shd w:val="clear" w:color="auto" w:fill="auto"/>
            <w:vAlign w:val="center"/>
          </w:tcPr>
          <w:p w14:paraId="6E99D712">
            <w:pPr>
              <w:jc w:val="center"/>
              <w:rPr>
                <w:rFonts w:hint="eastAsia" w:ascii="宋体" w:hAnsi="宋体" w:eastAsia="宋体" w:cs="宋体"/>
                <w:sz w:val="28"/>
                <w:szCs w:val="28"/>
              </w:rPr>
            </w:pPr>
            <w:r>
              <w:rPr>
                <w:rFonts w:hint="eastAsia" w:ascii="宋体" w:hAnsi="宋体" w:eastAsia="宋体" w:cs="宋体"/>
                <w:sz w:val="28"/>
                <w:szCs w:val="28"/>
                <w:lang w:val="en-US" w:eastAsia="zh-CN"/>
              </w:rPr>
              <w:t>安福县武功山林场</w:t>
            </w:r>
          </w:p>
        </w:tc>
        <w:tc>
          <w:tcPr>
            <w:tcW w:w="2410" w:type="dxa"/>
            <w:shd w:val="clear" w:color="auto" w:fill="auto"/>
            <w:vAlign w:val="center"/>
          </w:tcPr>
          <w:p w14:paraId="5D62767A">
            <w:pPr>
              <w:jc w:val="center"/>
              <w:rPr>
                <w:rFonts w:ascii="宋体" w:hAnsi="宋体" w:eastAsia="宋体" w:cs="Times New Roman"/>
                <w:sz w:val="28"/>
                <w:szCs w:val="28"/>
              </w:rPr>
            </w:pPr>
            <w:r>
              <w:rPr>
                <w:rFonts w:ascii="宋体" w:hAnsi="宋体" w:eastAsia="宋体" w:cs="Times New Roman"/>
                <w:sz w:val="28"/>
                <w:szCs w:val="28"/>
              </w:rPr>
              <w:t>数据调查</w:t>
            </w:r>
          </w:p>
        </w:tc>
      </w:tr>
      <w:tr w14:paraId="2308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200" w:type="dxa"/>
            <w:shd w:val="clear" w:color="auto" w:fill="auto"/>
            <w:vAlign w:val="center"/>
          </w:tcPr>
          <w:p w14:paraId="644ECC10">
            <w:pPr>
              <w:jc w:val="center"/>
              <w:rPr>
                <w:rFonts w:ascii="宋体" w:hAnsi="宋体" w:eastAsia="宋体" w:cs="Times New Roman"/>
                <w:sz w:val="28"/>
                <w:szCs w:val="28"/>
              </w:rPr>
            </w:pPr>
            <w:r>
              <w:rPr>
                <w:rFonts w:hint="default" w:ascii="宋体" w:hAnsi="宋体" w:eastAsia="宋体" w:cs="Times New Roman"/>
                <w:sz w:val="28"/>
                <w:szCs w:val="28"/>
                <w:lang w:val="en-US" w:eastAsia="zh-CN"/>
              </w:rPr>
              <w:t>杜强</w:t>
            </w:r>
          </w:p>
        </w:tc>
        <w:tc>
          <w:tcPr>
            <w:tcW w:w="841" w:type="dxa"/>
            <w:shd w:val="clear" w:color="auto" w:fill="auto"/>
            <w:vAlign w:val="center"/>
          </w:tcPr>
          <w:p w14:paraId="560D67DD">
            <w:pPr>
              <w:jc w:val="center"/>
              <w:rPr>
                <w:rFonts w:ascii="宋体" w:hAnsi="宋体" w:eastAsia="宋体" w:cs="Times New Roman"/>
                <w:sz w:val="28"/>
                <w:szCs w:val="28"/>
              </w:rPr>
            </w:pPr>
            <w:r>
              <w:rPr>
                <w:rFonts w:ascii="宋体" w:hAnsi="宋体" w:eastAsia="宋体" w:cs="Times New Roman"/>
                <w:sz w:val="28"/>
                <w:szCs w:val="28"/>
              </w:rPr>
              <w:t>男</w:t>
            </w:r>
          </w:p>
        </w:tc>
        <w:tc>
          <w:tcPr>
            <w:tcW w:w="1782" w:type="dxa"/>
            <w:shd w:val="clear" w:color="auto" w:fill="auto"/>
            <w:vAlign w:val="center"/>
          </w:tcPr>
          <w:p w14:paraId="032C7693">
            <w:pPr>
              <w:jc w:val="center"/>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教授级高工</w:t>
            </w:r>
          </w:p>
        </w:tc>
        <w:tc>
          <w:tcPr>
            <w:tcW w:w="2693" w:type="dxa"/>
            <w:shd w:val="clear" w:color="auto" w:fill="auto"/>
            <w:vAlign w:val="center"/>
          </w:tcPr>
          <w:p w14:paraId="21456719">
            <w:pPr>
              <w:jc w:val="center"/>
              <w:rPr>
                <w:rFonts w:hint="eastAsia" w:ascii="宋体" w:hAnsi="宋体" w:eastAsia="宋体" w:cs="宋体"/>
                <w:sz w:val="28"/>
                <w:szCs w:val="28"/>
              </w:rPr>
            </w:pPr>
            <w:r>
              <w:rPr>
                <w:rFonts w:hint="eastAsia" w:ascii="宋体" w:hAnsi="宋体" w:eastAsia="宋体" w:cs="宋体"/>
                <w:sz w:val="28"/>
                <w:szCs w:val="28"/>
                <w:lang w:val="en-US" w:eastAsia="zh-CN"/>
              </w:rPr>
              <w:t>江西省林业科学院</w:t>
            </w:r>
          </w:p>
        </w:tc>
        <w:tc>
          <w:tcPr>
            <w:tcW w:w="2410" w:type="dxa"/>
            <w:shd w:val="clear" w:color="auto" w:fill="auto"/>
            <w:vAlign w:val="center"/>
          </w:tcPr>
          <w:p w14:paraId="48005450">
            <w:pPr>
              <w:jc w:val="center"/>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协调实施</w:t>
            </w:r>
          </w:p>
        </w:tc>
      </w:tr>
      <w:tr w14:paraId="7F09C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200" w:type="dxa"/>
            <w:shd w:val="clear" w:color="auto" w:fill="auto"/>
            <w:vAlign w:val="center"/>
          </w:tcPr>
          <w:p w14:paraId="6F7BA11C">
            <w:pPr>
              <w:jc w:val="center"/>
              <w:rPr>
                <w:rFonts w:ascii="宋体" w:hAnsi="宋体" w:eastAsia="宋体" w:cs="Times New Roman"/>
                <w:sz w:val="28"/>
                <w:szCs w:val="28"/>
              </w:rPr>
            </w:pPr>
            <w:r>
              <w:rPr>
                <w:rFonts w:hint="default" w:ascii="宋体" w:hAnsi="宋体" w:eastAsia="宋体" w:cs="Times New Roman"/>
                <w:sz w:val="28"/>
                <w:szCs w:val="28"/>
                <w:lang w:val="en-US" w:eastAsia="zh-CN"/>
              </w:rPr>
              <w:t>彭小兵</w:t>
            </w:r>
          </w:p>
        </w:tc>
        <w:tc>
          <w:tcPr>
            <w:tcW w:w="841" w:type="dxa"/>
            <w:shd w:val="clear" w:color="auto" w:fill="auto"/>
            <w:vAlign w:val="center"/>
          </w:tcPr>
          <w:p w14:paraId="4A22EF43">
            <w:pPr>
              <w:jc w:val="center"/>
              <w:rPr>
                <w:rFonts w:ascii="宋体" w:hAnsi="宋体" w:eastAsia="宋体" w:cs="Times New Roman"/>
                <w:sz w:val="28"/>
                <w:szCs w:val="28"/>
              </w:rPr>
            </w:pPr>
            <w:r>
              <w:rPr>
                <w:rFonts w:ascii="宋体" w:hAnsi="宋体" w:eastAsia="宋体" w:cs="Times New Roman"/>
                <w:sz w:val="28"/>
                <w:szCs w:val="28"/>
              </w:rPr>
              <w:t>男</w:t>
            </w:r>
          </w:p>
        </w:tc>
        <w:tc>
          <w:tcPr>
            <w:tcW w:w="1782" w:type="dxa"/>
            <w:shd w:val="clear" w:color="auto" w:fill="auto"/>
            <w:vAlign w:val="center"/>
          </w:tcPr>
          <w:p w14:paraId="4AE648B3">
            <w:pPr>
              <w:jc w:val="center"/>
              <w:rPr>
                <w:rFonts w:ascii="宋体" w:hAnsi="宋体" w:eastAsia="宋体" w:cs="Times New Roman"/>
                <w:sz w:val="28"/>
                <w:szCs w:val="28"/>
              </w:rPr>
            </w:pPr>
            <w:r>
              <w:rPr>
                <w:rFonts w:ascii="宋体" w:hAnsi="宋体" w:eastAsia="宋体" w:cs="Times New Roman"/>
                <w:sz w:val="28"/>
                <w:szCs w:val="28"/>
              </w:rPr>
              <w:t>副场长/高工</w:t>
            </w:r>
          </w:p>
        </w:tc>
        <w:tc>
          <w:tcPr>
            <w:tcW w:w="2693" w:type="dxa"/>
            <w:shd w:val="clear" w:color="auto" w:fill="auto"/>
            <w:vAlign w:val="center"/>
          </w:tcPr>
          <w:p w14:paraId="179444CD">
            <w:pPr>
              <w:jc w:val="center"/>
              <w:rPr>
                <w:rFonts w:hint="eastAsia" w:ascii="宋体" w:hAnsi="宋体" w:eastAsia="宋体" w:cs="宋体"/>
                <w:sz w:val="28"/>
                <w:szCs w:val="28"/>
              </w:rPr>
            </w:pPr>
            <w:r>
              <w:rPr>
                <w:rFonts w:hint="eastAsia" w:ascii="宋体" w:hAnsi="宋体" w:eastAsia="宋体" w:cs="宋体"/>
                <w:sz w:val="28"/>
                <w:szCs w:val="28"/>
                <w:lang w:val="en-US" w:eastAsia="zh-CN"/>
              </w:rPr>
              <w:t>安福县武功山林场</w:t>
            </w:r>
          </w:p>
        </w:tc>
        <w:tc>
          <w:tcPr>
            <w:tcW w:w="2410" w:type="dxa"/>
            <w:shd w:val="clear" w:color="auto" w:fill="auto"/>
            <w:vAlign w:val="center"/>
          </w:tcPr>
          <w:p w14:paraId="0149B0DE">
            <w:pPr>
              <w:jc w:val="center"/>
              <w:rPr>
                <w:rFonts w:ascii="宋体" w:hAnsi="宋体" w:eastAsia="宋体" w:cs="Times New Roman"/>
                <w:sz w:val="28"/>
                <w:szCs w:val="28"/>
              </w:rPr>
            </w:pPr>
            <w:r>
              <w:rPr>
                <w:rFonts w:ascii="宋体" w:hAnsi="宋体" w:eastAsia="宋体" w:cs="Times New Roman"/>
                <w:sz w:val="28"/>
                <w:szCs w:val="28"/>
              </w:rPr>
              <w:t>试验实施</w:t>
            </w:r>
          </w:p>
        </w:tc>
      </w:tr>
      <w:tr w14:paraId="546FD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200" w:type="dxa"/>
            <w:shd w:val="clear" w:color="auto" w:fill="auto"/>
            <w:vAlign w:val="center"/>
          </w:tcPr>
          <w:p w14:paraId="36D116E9">
            <w:pPr>
              <w:jc w:val="center"/>
              <w:rPr>
                <w:rFonts w:ascii="宋体" w:hAnsi="宋体" w:eastAsia="宋体" w:cs="Times New Roman"/>
                <w:sz w:val="28"/>
                <w:szCs w:val="28"/>
              </w:rPr>
            </w:pPr>
            <w:r>
              <w:rPr>
                <w:rFonts w:hint="default" w:ascii="宋体" w:hAnsi="宋体" w:eastAsia="宋体" w:cs="Times New Roman"/>
                <w:sz w:val="28"/>
                <w:szCs w:val="28"/>
                <w:lang w:val="en-US" w:eastAsia="zh-CN"/>
              </w:rPr>
              <w:t>王俊泊</w:t>
            </w:r>
          </w:p>
        </w:tc>
        <w:tc>
          <w:tcPr>
            <w:tcW w:w="841" w:type="dxa"/>
            <w:shd w:val="clear" w:color="auto" w:fill="auto"/>
            <w:vAlign w:val="center"/>
          </w:tcPr>
          <w:p w14:paraId="4A63C036">
            <w:pPr>
              <w:jc w:val="center"/>
              <w:rPr>
                <w:rFonts w:hint="eastAsia" w:ascii="宋体" w:hAnsi="宋体" w:eastAsia="宋体" w:cs="Times New Roman"/>
                <w:sz w:val="28"/>
                <w:szCs w:val="28"/>
                <w:lang w:eastAsia="zh-CN"/>
              </w:rPr>
            </w:pPr>
            <w:r>
              <w:rPr>
                <w:rFonts w:hint="eastAsia" w:ascii="宋体" w:hAnsi="宋体" w:eastAsia="宋体" w:cs="Times New Roman"/>
                <w:sz w:val="28"/>
                <w:szCs w:val="28"/>
                <w:lang w:val="en-US" w:eastAsia="zh-CN"/>
              </w:rPr>
              <w:t>男</w:t>
            </w:r>
          </w:p>
        </w:tc>
        <w:tc>
          <w:tcPr>
            <w:tcW w:w="1782" w:type="dxa"/>
            <w:shd w:val="clear" w:color="auto" w:fill="auto"/>
            <w:vAlign w:val="center"/>
          </w:tcPr>
          <w:p w14:paraId="6FECC22C">
            <w:pPr>
              <w:jc w:val="center"/>
              <w:rPr>
                <w:rFonts w:ascii="宋体" w:hAnsi="宋体" w:eastAsia="宋体" w:cs="Times New Roman"/>
                <w:sz w:val="28"/>
                <w:szCs w:val="28"/>
              </w:rPr>
            </w:pPr>
            <w:r>
              <w:rPr>
                <w:rFonts w:ascii="宋体" w:hAnsi="宋体" w:eastAsia="宋体" w:cs="Times New Roman"/>
                <w:sz w:val="28"/>
                <w:szCs w:val="28"/>
              </w:rPr>
              <w:t>研究实习员</w:t>
            </w:r>
          </w:p>
        </w:tc>
        <w:tc>
          <w:tcPr>
            <w:tcW w:w="2693" w:type="dxa"/>
            <w:shd w:val="clear" w:color="auto" w:fill="auto"/>
            <w:vAlign w:val="center"/>
          </w:tcPr>
          <w:p w14:paraId="72714FC6">
            <w:pPr>
              <w:jc w:val="center"/>
              <w:rPr>
                <w:rFonts w:hint="eastAsia" w:ascii="宋体" w:hAnsi="宋体" w:eastAsia="宋体" w:cs="宋体"/>
                <w:sz w:val="28"/>
                <w:szCs w:val="28"/>
              </w:rPr>
            </w:pPr>
            <w:r>
              <w:rPr>
                <w:rFonts w:hint="eastAsia" w:ascii="宋体" w:hAnsi="宋体" w:eastAsia="宋体" w:cs="宋体"/>
                <w:sz w:val="28"/>
                <w:szCs w:val="28"/>
                <w:lang w:val="en-US" w:eastAsia="zh-CN"/>
              </w:rPr>
              <w:t>安福县武功山林场</w:t>
            </w:r>
          </w:p>
        </w:tc>
        <w:tc>
          <w:tcPr>
            <w:tcW w:w="2410" w:type="dxa"/>
            <w:shd w:val="clear" w:color="auto" w:fill="auto"/>
            <w:vAlign w:val="center"/>
          </w:tcPr>
          <w:p w14:paraId="7ACE84A6">
            <w:pPr>
              <w:jc w:val="center"/>
              <w:rPr>
                <w:rFonts w:ascii="宋体" w:hAnsi="宋体" w:eastAsia="宋体" w:cs="Times New Roman"/>
                <w:sz w:val="28"/>
                <w:szCs w:val="28"/>
              </w:rPr>
            </w:pPr>
            <w:r>
              <w:rPr>
                <w:rFonts w:ascii="宋体" w:hAnsi="宋体" w:eastAsia="宋体" w:cs="Times New Roman"/>
                <w:sz w:val="28"/>
                <w:szCs w:val="28"/>
              </w:rPr>
              <w:t>试验实施</w:t>
            </w:r>
          </w:p>
        </w:tc>
      </w:tr>
      <w:tr w14:paraId="3D77B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200" w:type="dxa"/>
            <w:shd w:val="clear" w:color="auto" w:fill="auto"/>
            <w:vAlign w:val="center"/>
          </w:tcPr>
          <w:p w14:paraId="3D6F5443">
            <w:pPr>
              <w:jc w:val="center"/>
              <w:rPr>
                <w:rFonts w:ascii="宋体" w:hAnsi="宋体" w:eastAsia="宋体" w:cs="Times New Roman"/>
                <w:sz w:val="28"/>
                <w:szCs w:val="28"/>
              </w:rPr>
            </w:pPr>
            <w:r>
              <w:rPr>
                <w:rFonts w:hint="default" w:ascii="宋体" w:hAnsi="宋体" w:eastAsia="宋体" w:cs="Times New Roman"/>
                <w:sz w:val="28"/>
                <w:szCs w:val="28"/>
                <w:lang w:val="en-US" w:eastAsia="zh-CN"/>
              </w:rPr>
              <w:t>刘倩</w:t>
            </w:r>
          </w:p>
        </w:tc>
        <w:tc>
          <w:tcPr>
            <w:tcW w:w="841" w:type="dxa"/>
            <w:shd w:val="clear" w:color="auto" w:fill="auto"/>
            <w:vAlign w:val="center"/>
          </w:tcPr>
          <w:p w14:paraId="3C39B72D">
            <w:pPr>
              <w:jc w:val="center"/>
              <w:rPr>
                <w:rFonts w:hint="eastAsia" w:ascii="宋体" w:hAnsi="宋体" w:eastAsia="宋体" w:cs="Times New Roman"/>
                <w:sz w:val="28"/>
                <w:szCs w:val="28"/>
                <w:lang w:eastAsia="zh-CN"/>
              </w:rPr>
            </w:pPr>
            <w:r>
              <w:rPr>
                <w:rFonts w:hint="eastAsia" w:ascii="宋体" w:hAnsi="宋体" w:eastAsia="宋体" w:cs="Times New Roman"/>
                <w:sz w:val="28"/>
                <w:szCs w:val="28"/>
                <w:lang w:val="en-US" w:eastAsia="zh-CN"/>
              </w:rPr>
              <w:t>女</w:t>
            </w:r>
          </w:p>
        </w:tc>
        <w:tc>
          <w:tcPr>
            <w:tcW w:w="1782" w:type="dxa"/>
            <w:shd w:val="clear" w:color="auto" w:fill="auto"/>
            <w:vAlign w:val="center"/>
          </w:tcPr>
          <w:p w14:paraId="1CC281EC">
            <w:pPr>
              <w:jc w:val="center"/>
              <w:rPr>
                <w:rFonts w:ascii="宋体" w:hAnsi="宋体" w:eastAsia="宋体" w:cs="Times New Roman"/>
                <w:sz w:val="28"/>
                <w:szCs w:val="28"/>
              </w:rPr>
            </w:pPr>
            <w:r>
              <w:rPr>
                <w:rFonts w:ascii="宋体" w:hAnsi="宋体" w:eastAsia="宋体" w:cs="Times New Roman"/>
                <w:sz w:val="28"/>
                <w:szCs w:val="28"/>
              </w:rPr>
              <w:t>教授级高工</w:t>
            </w:r>
          </w:p>
        </w:tc>
        <w:tc>
          <w:tcPr>
            <w:tcW w:w="2693" w:type="dxa"/>
            <w:shd w:val="clear" w:color="auto" w:fill="auto"/>
            <w:vAlign w:val="center"/>
          </w:tcPr>
          <w:p w14:paraId="682B85C6">
            <w:pPr>
              <w:jc w:val="center"/>
              <w:rPr>
                <w:rFonts w:hint="eastAsia" w:ascii="宋体" w:hAnsi="宋体" w:eastAsia="宋体" w:cs="宋体"/>
                <w:sz w:val="28"/>
                <w:szCs w:val="28"/>
              </w:rPr>
            </w:pPr>
            <w:r>
              <w:rPr>
                <w:rFonts w:hint="eastAsia" w:ascii="宋体" w:hAnsi="宋体" w:eastAsia="宋体" w:cs="宋体"/>
                <w:sz w:val="28"/>
                <w:szCs w:val="28"/>
                <w:lang w:val="en-US" w:eastAsia="zh-CN"/>
              </w:rPr>
              <w:t>江西省林业科学院</w:t>
            </w:r>
          </w:p>
        </w:tc>
        <w:tc>
          <w:tcPr>
            <w:tcW w:w="2410" w:type="dxa"/>
            <w:shd w:val="clear" w:color="auto" w:fill="auto"/>
            <w:vAlign w:val="center"/>
          </w:tcPr>
          <w:p w14:paraId="762974F8">
            <w:pPr>
              <w:jc w:val="center"/>
              <w:rPr>
                <w:rFonts w:ascii="宋体" w:hAnsi="宋体" w:eastAsia="宋体" w:cs="Times New Roman"/>
                <w:sz w:val="28"/>
                <w:szCs w:val="28"/>
              </w:rPr>
            </w:pPr>
            <w:r>
              <w:rPr>
                <w:rFonts w:ascii="宋体" w:hAnsi="宋体" w:eastAsia="宋体" w:cs="Times New Roman"/>
                <w:sz w:val="28"/>
                <w:szCs w:val="28"/>
              </w:rPr>
              <w:t>试验实施</w:t>
            </w:r>
          </w:p>
        </w:tc>
      </w:tr>
      <w:tr w14:paraId="1612A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200" w:type="dxa"/>
            <w:shd w:val="clear" w:color="auto" w:fill="auto"/>
            <w:vAlign w:val="center"/>
          </w:tcPr>
          <w:p w14:paraId="706659EC">
            <w:pPr>
              <w:jc w:val="center"/>
              <w:rPr>
                <w:rFonts w:ascii="宋体" w:hAnsi="宋体" w:eastAsia="宋体" w:cs="Times New Roman"/>
                <w:sz w:val="28"/>
                <w:szCs w:val="28"/>
              </w:rPr>
            </w:pPr>
            <w:r>
              <w:rPr>
                <w:rFonts w:hint="default" w:ascii="宋体" w:hAnsi="宋体" w:eastAsia="宋体" w:cs="Times New Roman"/>
                <w:sz w:val="28"/>
                <w:szCs w:val="28"/>
                <w:lang w:val="en-US" w:eastAsia="zh-CN"/>
              </w:rPr>
              <w:t>胡珊</w:t>
            </w:r>
          </w:p>
        </w:tc>
        <w:tc>
          <w:tcPr>
            <w:tcW w:w="841" w:type="dxa"/>
            <w:shd w:val="clear" w:color="auto" w:fill="auto"/>
            <w:vAlign w:val="center"/>
          </w:tcPr>
          <w:p w14:paraId="3A6C96D3">
            <w:pPr>
              <w:jc w:val="center"/>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女</w:t>
            </w:r>
          </w:p>
        </w:tc>
        <w:tc>
          <w:tcPr>
            <w:tcW w:w="1782" w:type="dxa"/>
            <w:shd w:val="clear" w:color="auto" w:fill="auto"/>
            <w:vAlign w:val="center"/>
          </w:tcPr>
          <w:p w14:paraId="65A30156">
            <w:pPr>
              <w:jc w:val="center"/>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研究实习员</w:t>
            </w:r>
          </w:p>
        </w:tc>
        <w:tc>
          <w:tcPr>
            <w:tcW w:w="2693" w:type="dxa"/>
            <w:shd w:val="clear" w:color="auto" w:fill="auto"/>
            <w:vAlign w:val="center"/>
          </w:tcPr>
          <w:p w14:paraId="1A323968">
            <w:pPr>
              <w:jc w:val="center"/>
              <w:rPr>
                <w:rFonts w:hint="eastAsia" w:ascii="宋体" w:hAnsi="宋体" w:eastAsia="宋体" w:cs="宋体"/>
                <w:sz w:val="28"/>
                <w:szCs w:val="28"/>
              </w:rPr>
            </w:pPr>
            <w:r>
              <w:rPr>
                <w:rFonts w:hint="eastAsia" w:ascii="宋体" w:hAnsi="宋体" w:eastAsia="宋体" w:cs="宋体"/>
                <w:sz w:val="28"/>
                <w:szCs w:val="28"/>
                <w:lang w:val="en-US" w:eastAsia="zh-CN"/>
              </w:rPr>
              <w:t>江西省林业科学院</w:t>
            </w:r>
          </w:p>
        </w:tc>
        <w:tc>
          <w:tcPr>
            <w:tcW w:w="2410" w:type="dxa"/>
            <w:shd w:val="clear" w:color="auto" w:fill="auto"/>
            <w:vAlign w:val="center"/>
          </w:tcPr>
          <w:p w14:paraId="3B76495F">
            <w:pPr>
              <w:jc w:val="center"/>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试验实施</w:t>
            </w:r>
          </w:p>
        </w:tc>
      </w:tr>
      <w:tr w14:paraId="6E93C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200" w:type="dxa"/>
            <w:shd w:val="clear" w:color="auto" w:fill="auto"/>
            <w:vAlign w:val="center"/>
          </w:tcPr>
          <w:p w14:paraId="55E46D0A">
            <w:pPr>
              <w:jc w:val="center"/>
              <w:rPr>
                <w:rFonts w:ascii="宋体" w:hAnsi="宋体" w:eastAsia="宋体" w:cs="Times New Roman"/>
                <w:sz w:val="28"/>
                <w:szCs w:val="28"/>
              </w:rPr>
            </w:pPr>
            <w:r>
              <w:rPr>
                <w:rFonts w:hint="default" w:ascii="宋体" w:hAnsi="宋体" w:eastAsia="宋体" w:cs="Times New Roman"/>
                <w:sz w:val="28"/>
                <w:szCs w:val="28"/>
                <w:lang w:val="en-US" w:eastAsia="zh-CN"/>
              </w:rPr>
              <w:t>刘子荣</w:t>
            </w:r>
          </w:p>
        </w:tc>
        <w:tc>
          <w:tcPr>
            <w:tcW w:w="841" w:type="dxa"/>
            <w:shd w:val="clear" w:color="auto" w:fill="auto"/>
            <w:vAlign w:val="center"/>
          </w:tcPr>
          <w:p w14:paraId="1266A604">
            <w:pPr>
              <w:jc w:val="center"/>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男</w:t>
            </w:r>
          </w:p>
        </w:tc>
        <w:tc>
          <w:tcPr>
            <w:tcW w:w="1782" w:type="dxa"/>
            <w:shd w:val="clear" w:color="auto" w:fill="auto"/>
            <w:vAlign w:val="center"/>
          </w:tcPr>
          <w:p w14:paraId="743B4E03">
            <w:pPr>
              <w:jc w:val="center"/>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工程师</w:t>
            </w:r>
          </w:p>
        </w:tc>
        <w:tc>
          <w:tcPr>
            <w:tcW w:w="2693" w:type="dxa"/>
            <w:shd w:val="clear" w:color="auto" w:fill="auto"/>
            <w:vAlign w:val="center"/>
          </w:tcPr>
          <w:p w14:paraId="5775BA88">
            <w:pPr>
              <w:jc w:val="center"/>
              <w:rPr>
                <w:rFonts w:hint="eastAsia" w:ascii="宋体" w:hAnsi="宋体" w:eastAsia="宋体" w:cs="宋体"/>
                <w:sz w:val="28"/>
                <w:szCs w:val="28"/>
              </w:rPr>
            </w:pPr>
            <w:r>
              <w:rPr>
                <w:rFonts w:hint="eastAsia" w:ascii="宋体" w:hAnsi="宋体" w:eastAsia="宋体" w:cs="宋体"/>
                <w:sz w:val="28"/>
                <w:szCs w:val="28"/>
                <w:lang w:val="en-US" w:eastAsia="zh-CN"/>
              </w:rPr>
              <w:t>安福县武功山林场</w:t>
            </w:r>
          </w:p>
        </w:tc>
        <w:tc>
          <w:tcPr>
            <w:tcW w:w="2410" w:type="dxa"/>
            <w:shd w:val="clear" w:color="auto" w:fill="auto"/>
            <w:vAlign w:val="center"/>
          </w:tcPr>
          <w:p w14:paraId="2A6BE2E7">
            <w:pPr>
              <w:jc w:val="center"/>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试验实施</w:t>
            </w:r>
          </w:p>
        </w:tc>
      </w:tr>
      <w:tr w14:paraId="3482F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200" w:type="dxa"/>
            <w:shd w:val="clear" w:color="auto" w:fill="auto"/>
            <w:vAlign w:val="center"/>
          </w:tcPr>
          <w:p w14:paraId="21AD01DE">
            <w:pPr>
              <w:jc w:val="center"/>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吴妹杰</w:t>
            </w:r>
          </w:p>
        </w:tc>
        <w:tc>
          <w:tcPr>
            <w:tcW w:w="841" w:type="dxa"/>
            <w:shd w:val="clear" w:color="auto" w:fill="auto"/>
            <w:vAlign w:val="center"/>
          </w:tcPr>
          <w:p w14:paraId="3D71C52B">
            <w:pPr>
              <w:jc w:val="center"/>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女</w:t>
            </w:r>
          </w:p>
        </w:tc>
        <w:tc>
          <w:tcPr>
            <w:tcW w:w="1782" w:type="dxa"/>
            <w:shd w:val="clear" w:color="auto" w:fill="auto"/>
            <w:vAlign w:val="center"/>
          </w:tcPr>
          <w:p w14:paraId="0218B829">
            <w:pPr>
              <w:jc w:val="center"/>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工程师</w:t>
            </w:r>
          </w:p>
        </w:tc>
        <w:tc>
          <w:tcPr>
            <w:tcW w:w="2693" w:type="dxa"/>
            <w:shd w:val="clear" w:color="auto" w:fill="auto"/>
            <w:vAlign w:val="center"/>
          </w:tcPr>
          <w:p w14:paraId="33DC8A94">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江西省林业科学院</w:t>
            </w:r>
          </w:p>
        </w:tc>
        <w:tc>
          <w:tcPr>
            <w:tcW w:w="2410" w:type="dxa"/>
            <w:shd w:val="clear" w:color="auto" w:fill="auto"/>
            <w:vAlign w:val="center"/>
          </w:tcPr>
          <w:p w14:paraId="034601D7">
            <w:pPr>
              <w:jc w:val="center"/>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数据统计</w:t>
            </w:r>
          </w:p>
        </w:tc>
      </w:tr>
    </w:tbl>
    <w:p w14:paraId="55B113C1">
      <w:pPr>
        <w:keepNext w:val="0"/>
        <w:keepLines w:val="0"/>
        <w:pageBreakBefore w:val="0"/>
        <w:widowControl/>
        <w:kinsoku/>
        <w:wordWrap/>
        <w:overflowPunct/>
        <w:topLinePunct w:val="0"/>
        <w:autoSpaceDE/>
        <w:autoSpaceDN/>
        <w:bidi w:val="0"/>
        <w:adjustRightInd/>
        <w:snapToGrid/>
        <w:spacing w:before="200" w:after="80" w:line="360" w:lineRule="auto"/>
        <w:ind w:firstLine="640" w:firstLineChars="200"/>
        <w:textAlignment w:val="auto"/>
        <w:rPr>
          <w:rFonts w:ascii="Times New Roman" w:hAnsi="Times New Roman" w:eastAsia="黑体" w:cs="Times New Roman"/>
          <w:bCs/>
          <w:sz w:val="32"/>
          <w:szCs w:val="32"/>
        </w:rPr>
      </w:pPr>
      <w:r>
        <w:rPr>
          <w:rFonts w:ascii="Times New Roman" w:hAnsi="Times New Roman" w:eastAsia="黑体" w:cs="Times New Roman"/>
          <w:bCs/>
          <w:sz w:val="32"/>
          <w:szCs w:val="32"/>
        </w:rPr>
        <w:t>二、制定（修订）标准的必要性和意义</w:t>
      </w:r>
    </w:p>
    <w:p w14:paraId="2D76099A">
      <w:pPr>
        <w:spacing w:after="0" w:line="360" w:lineRule="auto"/>
        <w:ind w:firstLine="640" w:firstLineChars="200"/>
        <w:rPr>
          <w:rFonts w:hint="eastAsia" w:ascii="Times New Roman" w:hAnsi="Times New Roman" w:eastAsia="仿宋_GB2312" w:cs="Times New Roman"/>
          <w:bCs/>
          <w:sz w:val="32"/>
          <w:szCs w:val="32"/>
          <w:lang w:val="en-US" w:eastAsia="zh-CN"/>
        </w:rPr>
      </w:pPr>
      <w:r>
        <w:rPr>
          <w:rFonts w:ascii="Times New Roman" w:hAnsi="Times New Roman" w:eastAsia="仿宋_GB2312" w:cs="Times New Roman"/>
          <w:bCs/>
          <w:sz w:val="32"/>
          <w:szCs w:val="32"/>
        </w:rPr>
        <w:t>火炬松（</w:t>
      </w:r>
      <w:r>
        <w:rPr>
          <w:rFonts w:ascii="Times New Roman" w:hAnsi="Times New Roman" w:eastAsia="仿宋_GB2312" w:cs="Times New Roman"/>
          <w:bCs/>
          <w:i/>
          <w:iCs/>
          <w:sz w:val="32"/>
          <w:szCs w:val="32"/>
        </w:rPr>
        <w:t>Pinus taeda</w:t>
      </w:r>
      <w:r>
        <w:rPr>
          <w:rFonts w:ascii="Times New Roman" w:hAnsi="Times New Roman" w:eastAsia="仿宋_GB2312" w:cs="Times New Roman"/>
          <w:bCs/>
          <w:sz w:val="32"/>
          <w:szCs w:val="32"/>
        </w:rPr>
        <w:t xml:space="preserve"> L.）原产于美国东南部，</w:t>
      </w:r>
      <w:r>
        <w:rPr>
          <w:rFonts w:hint="eastAsia" w:ascii="Times New Roman" w:hAnsi="Times New Roman" w:eastAsia="仿宋_GB2312" w:cs="Times New Roman"/>
          <w:bCs/>
          <w:sz w:val="32"/>
          <w:szCs w:val="32"/>
        </w:rPr>
        <w:t>因其生长迅速</w:t>
      </w:r>
      <w:r>
        <w:rPr>
          <w:rFonts w:hint="eastAsia" w:ascii="Times New Roman" w:hAnsi="Times New Roman" w:eastAsia="仿宋_GB2312" w:cs="Times New Roman"/>
          <w:bCs/>
          <w:sz w:val="32"/>
          <w:szCs w:val="32"/>
          <w:lang w:eastAsia="zh-CN"/>
        </w:rPr>
        <w:t>、</w:t>
      </w:r>
      <w:r>
        <w:rPr>
          <w:rFonts w:hint="eastAsia" w:ascii="Times New Roman" w:hAnsi="Times New Roman" w:eastAsia="仿宋_GB2312" w:cs="Times New Roman"/>
          <w:bCs/>
          <w:sz w:val="32"/>
          <w:szCs w:val="32"/>
        </w:rPr>
        <w:t>用途广、适应性强</w:t>
      </w:r>
      <w:r>
        <w:rPr>
          <w:rFonts w:hint="eastAsia" w:ascii="Times New Roman" w:hAnsi="Times New Roman" w:eastAsia="仿宋_GB2312" w:cs="Times New Roman"/>
          <w:bCs/>
          <w:sz w:val="32"/>
          <w:szCs w:val="32"/>
          <w:lang w:val="en-US" w:eastAsia="zh-CN"/>
        </w:rPr>
        <w:t>等特性</w:t>
      </w:r>
      <w:r>
        <w:rPr>
          <w:rFonts w:hint="eastAsia" w:ascii="Times New Roman" w:hAnsi="Times New Roman" w:eastAsia="仿宋_GB2312" w:cs="Times New Roman"/>
          <w:bCs/>
          <w:sz w:val="32"/>
          <w:szCs w:val="32"/>
        </w:rPr>
        <w:t>在我国已广为引种栽培，是我国引种驯化成功的速生针叶树种之一。火炬松的木材、松脂和纸浆等都是不可缺少的工业原料，</w:t>
      </w:r>
      <w:r>
        <w:rPr>
          <w:rFonts w:hint="eastAsia" w:ascii="Times New Roman" w:hAnsi="Times New Roman" w:eastAsia="仿宋_GB2312" w:cs="Times New Roman"/>
          <w:bCs/>
          <w:sz w:val="32"/>
          <w:szCs w:val="32"/>
          <w:lang w:val="en-US" w:eastAsia="zh-CN"/>
        </w:rPr>
        <w:t>尤其材用是火炬松主要经济价值来源，遗传改良主要围绕材性进行，目前国际上火炬松的遗传改良已经进入第四代，材积遗传增益从第一代的10%提升至第三代的35%，尤其是培育大径材经济效益显著。江西是火炬松主要引种栽培区，</w:t>
      </w:r>
      <w:r>
        <w:rPr>
          <w:rFonts w:ascii="Times New Roman" w:hAnsi="Times New Roman" w:eastAsia="仿宋_GB2312" w:cs="Times New Roman"/>
          <w:bCs/>
          <w:sz w:val="32"/>
          <w:szCs w:val="32"/>
        </w:rPr>
        <w:t>在抗松材线虫病方面显著优于其他松树，</w:t>
      </w:r>
      <w:r>
        <w:rPr>
          <w:rFonts w:hint="eastAsia" w:ascii="Times New Roman" w:hAnsi="Times New Roman" w:eastAsia="仿宋_GB2312" w:cs="Times New Roman"/>
          <w:bCs/>
          <w:sz w:val="32"/>
          <w:szCs w:val="32"/>
          <w:lang w:val="en-US" w:eastAsia="zh-CN"/>
        </w:rPr>
        <w:t>是</w:t>
      </w:r>
      <w:r>
        <w:rPr>
          <w:rFonts w:ascii="Times New Roman" w:hAnsi="Times New Roman" w:eastAsia="仿宋_GB2312" w:cs="Times New Roman"/>
          <w:bCs/>
          <w:sz w:val="32"/>
          <w:szCs w:val="32"/>
        </w:rPr>
        <w:t>我省主要的用材树种和松材线虫病除治迹地生态恢复树种。</w:t>
      </w:r>
    </w:p>
    <w:p w14:paraId="0954B3B6">
      <w:pPr>
        <w:spacing w:line="360" w:lineRule="auto"/>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然而，</w:t>
      </w:r>
      <w:r>
        <w:rPr>
          <w:rFonts w:hint="eastAsia" w:ascii="Times New Roman" w:hAnsi="Times New Roman" w:eastAsia="仿宋_GB2312" w:cs="Times New Roman"/>
          <w:bCs/>
          <w:sz w:val="32"/>
          <w:szCs w:val="32"/>
          <w:lang w:val="en-US" w:eastAsia="zh-CN"/>
        </w:rPr>
        <w:t>我省在火炬松种苗繁育、造林及病虫害防治等方面无统一标准，火炬松苗木质量残次不齐，很多达不到造林要求，且火炬松林分粗放经营，效益较低，加上火炬松松脂流动性不佳，松脂经济远低于湿地松，导致火炬松种植面积不断减少。为了推广种植火炬松，增加其在国储林中的比重，项目组在武功山林场火炬松国家良种基地开展火炬松播种育苗、扦插繁育、嫁接繁育和造林等各项试验，完成了</w:t>
      </w:r>
      <w:bookmarkStart w:id="0" w:name="OLE_LINK3"/>
      <w:r>
        <w:rPr>
          <w:rFonts w:hint="eastAsia" w:ascii="Times New Roman" w:hAnsi="Times New Roman" w:eastAsia="仿宋_GB2312" w:cs="Times New Roman"/>
          <w:bCs/>
          <w:sz w:val="32"/>
          <w:szCs w:val="32"/>
          <w:lang w:val="en-US" w:eastAsia="zh-CN"/>
        </w:rPr>
        <w:t>2014年度</w:t>
      </w:r>
      <w:r>
        <w:rPr>
          <w:rFonts w:ascii="Times New Roman" w:hAnsi="Times New Roman" w:eastAsia="仿宋_GB2312" w:cs="Times New Roman"/>
          <w:bCs/>
          <w:sz w:val="32"/>
          <w:szCs w:val="32"/>
        </w:rPr>
        <w:t>省财政专项项目</w:t>
      </w:r>
      <w:r>
        <w:rPr>
          <w:rFonts w:hint="eastAsia" w:ascii="Times New Roman" w:hAnsi="Times New Roman" w:eastAsia="仿宋_GB2312" w:cs="Times New Roman"/>
          <w:bCs/>
          <w:sz w:val="32"/>
          <w:szCs w:val="32"/>
          <w:lang w:eastAsia="zh-CN"/>
        </w:rPr>
        <w:t>“</w:t>
      </w:r>
      <w:r>
        <w:rPr>
          <w:rFonts w:hint="eastAsia" w:ascii="Times New Roman" w:hAnsi="Times New Roman" w:eastAsia="仿宋_GB2312" w:cs="Times New Roman"/>
          <w:bCs/>
          <w:sz w:val="32"/>
          <w:szCs w:val="32"/>
          <w:lang w:val="en-US" w:eastAsia="zh-CN"/>
        </w:rPr>
        <w:t>湿地松和火炬松高世代优树资源收集与评价</w:t>
      </w:r>
      <w:r>
        <w:rPr>
          <w:rFonts w:hint="eastAsia" w:ascii="Times New Roman" w:hAnsi="Times New Roman" w:eastAsia="仿宋_GB2312" w:cs="Times New Roman"/>
          <w:bCs/>
          <w:sz w:val="32"/>
          <w:szCs w:val="32"/>
          <w:lang w:eastAsia="zh-CN"/>
        </w:rPr>
        <w:t>”、</w:t>
      </w:r>
      <w:r>
        <w:rPr>
          <w:rFonts w:ascii="Times New Roman" w:hAnsi="Times New Roman" w:eastAsia="仿宋_GB2312" w:cs="Times New Roman"/>
          <w:bCs/>
          <w:sz w:val="32"/>
          <w:szCs w:val="32"/>
        </w:rPr>
        <w:t>201</w:t>
      </w:r>
      <w:r>
        <w:rPr>
          <w:rFonts w:hint="eastAsia" w:ascii="Times New Roman" w:hAnsi="Times New Roman" w:eastAsia="仿宋_GB2312" w:cs="Times New Roman"/>
          <w:bCs/>
          <w:sz w:val="32"/>
          <w:szCs w:val="32"/>
        </w:rPr>
        <w:t>7</w:t>
      </w:r>
      <w:r>
        <w:rPr>
          <w:rFonts w:ascii="Times New Roman" w:hAnsi="Times New Roman" w:eastAsia="仿宋_GB2312" w:cs="Times New Roman"/>
          <w:bCs/>
          <w:sz w:val="32"/>
          <w:szCs w:val="32"/>
        </w:rPr>
        <w:t>年度</w:t>
      </w:r>
      <w:bookmarkStart w:id="1" w:name="OLE_LINK2"/>
      <w:r>
        <w:rPr>
          <w:rFonts w:ascii="Times New Roman" w:hAnsi="Times New Roman" w:eastAsia="仿宋_GB2312" w:cs="Times New Roman"/>
          <w:bCs/>
          <w:sz w:val="32"/>
          <w:szCs w:val="32"/>
        </w:rPr>
        <w:t>省财政专项项目</w:t>
      </w:r>
      <w:bookmarkEnd w:id="1"/>
      <w:r>
        <w:rPr>
          <w:rFonts w:hint="eastAsia" w:ascii="Times New Roman" w:hAnsi="Times New Roman" w:eastAsia="仿宋_GB2312" w:cs="Times New Roman"/>
          <w:bCs/>
          <w:sz w:val="32"/>
          <w:szCs w:val="32"/>
          <w:lang w:eastAsia="zh-CN"/>
        </w:rPr>
        <w:t>“</w:t>
      </w:r>
      <w:r>
        <w:rPr>
          <w:rFonts w:ascii="Times New Roman" w:hAnsi="Times New Roman" w:eastAsia="仿宋_GB2312" w:cs="Times New Roman"/>
          <w:bCs/>
          <w:sz w:val="32"/>
          <w:szCs w:val="32"/>
        </w:rPr>
        <w:t>湿地松和火炬松采穗圃营建及扦插繁殖技术研究</w:t>
      </w:r>
      <w:r>
        <w:rPr>
          <w:rFonts w:hint="eastAsia" w:ascii="Times New Roman" w:hAnsi="Times New Roman" w:eastAsia="仿宋_GB2312" w:cs="Times New Roman"/>
          <w:bCs/>
          <w:sz w:val="32"/>
          <w:szCs w:val="32"/>
          <w:lang w:eastAsia="zh-CN"/>
        </w:rPr>
        <w:t>”</w:t>
      </w:r>
      <w:r>
        <w:rPr>
          <w:rFonts w:hint="eastAsia" w:ascii="Times New Roman" w:hAnsi="Times New Roman" w:eastAsia="仿宋_GB2312" w:cs="Times New Roman"/>
          <w:bCs/>
          <w:sz w:val="32"/>
          <w:szCs w:val="32"/>
          <w:lang w:val="en-US" w:eastAsia="zh-CN"/>
        </w:rPr>
        <w:t>和2016年省林业局科技创新专项“国外松优良家系测定评价及体胚发生技术研究”等科研项目</w:t>
      </w:r>
      <w:bookmarkEnd w:id="0"/>
      <w:r>
        <w:rPr>
          <w:rFonts w:ascii="Times New Roman" w:hAnsi="Times New Roman" w:eastAsia="仿宋_GB2312" w:cs="Times New Roman"/>
          <w:bCs/>
          <w:sz w:val="32"/>
          <w:szCs w:val="32"/>
        </w:rPr>
        <w:t>，</w:t>
      </w:r>
      <w:r>
        <w:rPr>
          <w:rFonts w:hint="eastAsia" w:ascii="Times New Roman" w:hAnsi="Times New Roman" w:eastAsia="仿宋_GB2312" w:cs="Times New Roman"/>
          <w:bCs/>
          <w:sz w:val="32"/>
          <w:szCs w:val="32"/>
          <w:lang w:val="en-US" w:eastAsia="zh-CN"/>
        </w:rPr>
        <w:t>优化了火炬松嫁接技术和扦插繁殖技术，总结出火炬松速生丰产、大径材培育技术，并结合已有的文献资料，撰写了火炬松速生丰产用材林培育技术规程草案，以期规范火炬松苗木质量标准和火炬松林分经营标准，为火炬松良种繁育与培育提供重要技术标准参考，提升苗木和林分质量，增加经济效益。</w:t>
      </w:r>
    </w:p>
    <w:p w14:paraId="7207E320">
      <w:pPr>
        <w:spacing w:line="360" w:lineRule="auto"/>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三、主要起草过程</w:t>
      </w:r>
    </w:p>
    <w:p w14:paraId="629D2364">
      <w:pPr>
        <w:spacing w:after="80" w:line="360" w:lineRule="auto"/>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工作基础：标准编写项目组成员长期从事松类遗传育种与栽培研究，在松类</w:t>
      </w:r>
      <w:r>
        <w:rPr>
          <w:rFonts w:hint="eastAsia" w:ascii="Times New Roman" w:hAnsi="Times New Roman" w:eastAsia="仿宋_GB2312" w:cs="Times New Roman"/>
          <w:bCs/>
          <w:sz w:val="32"/>
          <w:szCs w:val="32"/>
          <w:lang w:val="en-US" w:eastAsia="zh-CN"/>
        </w:rPr>
        <w:t>有性繁殖和无性繁殖、速生丰产林和大径材培育等方面</w:t>
      </w:r>
      <w:r>
        <w:rPr>
          <w:rFonts w:ascii="Times New Roman" w:hAnsi="Times New Roman" w:eastAsia="仿宋_GB2312" w:cs="Times New Roman"/>
          <w:bCs/>
          <w:sz w:val="32"/>
          <w:szCs w:val="32"/>
        </w:rPr>
        <w:t>具有较好的理论基础和实践经验，加上林场职工在基层工作，拥有丰富的实践经验。起草单位江西省林业科学院承担并完成了省财政专项项目</w:t>
      </w:r>
      <w:r>
        <w:rPr>
          <w:rFonts w:hint="eastAsia" w:ascii="Times New Roman" w:hAnsi="Times New Roman" w:eastAsia="仿宋_GB2312" w:cs="Times New Roman"/>
          <w:bCs/>
          <w:sz w:val="32"/>
          <w:szCs w:val="32"/>
          <w:lang w:eastAsia="zh-CN"/>
        </w:rPr>
        <w:t>“</w:t>
      </w:r>
      <w:bookmarkStart w:id="2" w:name="OLE_LINK6"/>
      <w:r>
        <w:rPr>
          <w:rFonts w:hint="eastAsia" w:ascii="Times New Roman" w:hAnsi="Times New Roman" w:eastAsia="仿宋_GB2312" w:cs="Times New Roman"/>
          <w:bCs/>
          <w:sz w:val="32"/>
          <w:szCs w:val="32"/>
          <w:lang w:val="en-US" w:eastAsia="zh-CN"/>
        </w:rPr>
        <w:t>湿地松和火炬松高世代优树资源收集与评价</w:t>
      </w:r>
      <w:bookmarkEnd w:id="2"/>
      <w:r>
        <w:rPr>
          <w:rFonts w:hint="eastAsia" w:ascii="Times New Roman" w:hAnsi="Times New Roman" w:eastAsia="仿宋_GB2312" w:cs="Times New Roman"/>
          <w:bCs/>
          <w:sz w:val="32"/>
          <w:szCs w:val="32"/>
          <w:lang w:eastAsia="zh-CN"/>
        </w:rPr>
        <w:t>”、</w:t>
      </w:r>
      <w:r>
        <w:rPr>
          <w:rFonts w:ascii="Times New Roman" w:hAnsi="Times New Roman" w:eastAsia="仿宋_GB2312" w:cs="Times New Roman"/>
          <w:bCs/>
          <w:sz w:val="32"/>
          <w:szCs w:val="32"/>
        </w:rPr>
        <w:t>省财政专项项目</w:t>
      </w:r>
      <w:r>
        <w:rPr>
          <w:rFonts w:hint="eastAsia" w:ascii="Times New Roman" w:hAnsi="Times New Roman" w:eastAsia="仿宋_GB2312" w:cs="Times New Roman"/>
          <w:bCs/>
          <w:sz w:val="32"/>
          <w:szCs w:val="32"/>
          <w:lang w:eastAsia="zh-CN"/>
        </w:rPr>
        <w:t>“</w:t>
      </w:r>
      <w:r>
        <w:rPr>
          <w:rFonts w:ascii="Times New Roman" w:hAnsi="Times New Roman" w:eastAsia="仿宋_GB2312" w:cs="Times New Roman"/>
          <w:bCs/>
          <w:sz w:val="32"/>
          <w:szCs w:val="32"/>
        </w:rPr>
        <w:t>湿地松和火炬松采穗圃营建及扦插繁殖技术研究</w:t>
      </w:r>
      <w:r>
        <w:rPr>
          <w:rFonts w:hint="eastAsia" w:ascii="Times New Roman" w:hAnsi="Times New Roman" w:eastAsia="仿宋_GB2312" w:cs="Times New Roman"/>
          <w:bCs/>
          <w:sz w:val="32"/>
          <w:szCs w:val="32"/>
          <w:lang w:eastAsia="zh-CN"/>
        </w:rPr>
        <w:t>”</w:t>
      </w:r>
      <w:r>
        <w:rPr>
          <w:rFonts w:hint="eastAsia" w:ascii="Times New Roman" w:hAnsi="Times New Roman" w:eastAsia="仿宋_GB2312" w:cs="Times New Roman"/>
          <w:bCs/>
          <w:sz w:val="32"/>
          <w:szCs w:val="32"/>
          <w:lang w:val="en-US" w:eastAsia="zh-CN"/>
        </w:rPr>
        <w:t>和省林业局科技创新专项“国外松优良家系测定评价及体胚发生技术研究”等科研项目</w:t>
      </w:r>
      <w:r>
        <w:rPr>
          <w:rFonts w:ascii="Times New Roman" w:hAnsi="Times New Roman" w:eastAsia="仿宋_GB2312" w:cs="Times New Roman"/>
          <w:bCs/>
          <w:sz w:val="32"/>
          <w:szCs w:val="32"/>
        </w:rPr>
        <w:t>，总结</w:t>
      </w:r>
      <w:r>
        <w:rPr>
          <w:rFonts w:hint="eastAsia" w:ascii="Times New Roman" w:hAnsi="Times New Roman" w:eastAsia="仿宋_GB2312" w:cs="Times New Roman"/>
          <w:bCs/>
          <w:sz w:val="32"/>
          <w:szCs w:val="32"/>
          <w:lang w:val="en-US" w:eastAsia="zh-CN"/>
        </w:rPr>
        <w:t>了火炬松实生苗繁育、扦插等无性繁育、造林及抚育管理等方面的</w:t>
      </w:r>
      <w:r>
        <w:rPr>
          <w:rFonts w:ascii="Times New Roman" w:hAnsi="Times New Roman" w:eastAsia="仿宋_GB2312" w:cs="Times New Roman"/>
          <w:bCs/>
          <w:sz w:val="32"/>
          <w:szCs w:val="32"/>
        </w:rPr>
        <w:t>研究成果，为本标准制定提供了坚实的技术依据。</w:t>
      </w:r>
    </w:p>
    <w:p w14:paraId="2CBF65F3">
      <w:pPr>
        <w:spacing w:after="80" w:line="360" w:lineRule="auto"/>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组织编写：为编制好本标准，起草单位江西省林科院成立了《</w:t>
      </w:r>
      <w:r>
        <w:rPr>
          <w:rFonts w:hint="eastAsia" w:ascii="Times New Roman" w:hAnsi="Times New Roman" w:eastAsia="仿宋_GB2312" w:cs="Times New Roman"/>
          <w:bCs/>
          <w:sz w:val="32"/>
          <w:szCs w:val="32"/>
        </w:rPr>
        <w:t>火炬松速生丰产用材林培育技术规程</w:t>
      </w:r>
      <w:r>
        <w:rPr>
          <w:rFonts w:ascii="Times New Roman" w:hAnsi="Times New Roman" w:eastAsia="仿宋_GB2312" w:cs="Times New Roman"/>
          <w:bCs/>
          <w:sz w:val="32"/>
          <w:szCs w:val="32"/>
        </w:rPr>
        <w:t>》起草项目组，确定了项目负责人和标准编制原则，并按照</w:t>
      </w:r>
      <w:bookmarkStart w:id="3" w:name="OLE_LINK4"/>
      <w:r>
        <w:rPr>
          <w:rFonts w:ascii="Times New Roman" w:hAnsi="Times New Roman" w:eastAsia="仿宋_GB2312" w:cs="Times New Roman"/>
          <w:bCs/>
          <w:sz w:val="32"/>
          <w:szCs w:val="32"/>
        </w:rPr>
        <w:t>GB/T 1.1-2020《标准化工作导则 第1部分：标准的结构和编写规则》</w:t>
      </w:r>
      <w:bookmarkEnd w:id="3"/>
      <w:r>
        <w:rPr>
          <w:rFonts w:ascii="Times New Roman" w:hAnsi="Times New Roman" w:eastAsia="仿宋_GB2312" w:cs="Times New Roman"/>
          <w:bCs/>
          <w:sz w:val="32"/>
          <w:szCs w:val="32"/>
        </w:rPr>
        <w:t>的规定，严格按照规程编写要求进行编写。项目组在总结前期研究基础上，密切联系生产实际，广泛查阅资料，并征集有经验的</w:t>
      </w:r>
      <w:r>
        <w:rPr>
          <w:rFonts w:hint="eastAsia" w:ascii="Times New Roman" w:hAnsi="Times New Roman" w:eastAsia="仿宋_GB2312" w:cs="Times New Roman"/>
          <w:bCs/>
          <w:sz w:val="32"/>
          <w:szCs w:val="32"/>
          <w:lang w:val="en-US" w:eastAsia="zh-CN"/>
        </w:rPr>
        <w:t>基层单位和</w:t>
      </w:r>
      <w:r>
        <w:rPr>
          <w:rFonts w:ascii="Times New Roman" w:hAnsi="Times New Roman" w:eastAsia="仿宋_GB2312" w:cs="Times New Roman"/>
          <w:bCs/>
          <w:sz w:val="32"/>
          <w:szCs w:val="32"/>
        </w:rPr>
        <w:t>林农的意见建议，召集项目组成员对编写的主要内容进行了深入、广泛、细致、认真讨论，形成了《</w:t>
      </w:r>
      <w:r>
        <w:rPr>
          <w:rFonts w:hint="eastAsia" w:ascii="Times New Roman" w:hAnsi="Times New Roman" w:eastAsia="仿宋_GB2312" w:cs="Times New Roman"/>
          <w:bCs/>
          <w:sz w:val="32"/>
          <w:szCs w:val="32"/>
        </w:rPr>
        <w:t>火炬松速生丰产用材林培育技术规程</w:t>
      </w:r>
      <w:r>
        <w:rPr>
          <w:rFonts w:ascii="Times New Roman" w:hAnsi="Times New Roman" w:eastAsia="仿宋_GB2312" w:cs="Times New Roman"/>
          <w:bCs/>
          <w:sz w:val="32"/>
          <w:szCs w:val="32"/>
        </w:rPr>
        <w:t>》初稿。</w:t>
      </w:r>
    </w:p>
    <w:p w14:paraId="73AFE7D3">
      <w:pPr>
        <w:spacing w:after="80" w:line="360" w:lineRule="auto"/>
        <w:ind w:firstLine="640" w:firstLineChars="200"/>
        <w:rPr>
          <w:rFonts w:hint="eastAsia" w:ascii="Times New Roman" w:hAnsi="Times New Roman" w:eastAsia="仿宋_GB2312" w:cs="Times New Roman"/>
          <w:bCs/>
          <w:sz w:val="32"/>
          <w:szCs w:val="32"/>
          <w:lang w:val="en-US" w:eastAsia="zh-CN"/>
        </w:rPr>
      </w:pPr>
      <w:r>
        <w:rPr>
          <w:rFonts w:hint="eastAsia" w:ascii="Times New Roman" w:hAnsi="Times New Roman" w:eastAsia="仿宋_GB2312" w:cs="Times New Roman"/>
          <w:bCs/>
          <w:sz w:val="32"/>
          <w:szCs w:val="32"/>
          <w:lang w:val="en-US" w:eastAsia="zh-CN"/>
        </w:rPr>
        <w:t>答辩立项：2025年1月进行了标准立项答辩，2月下达了立项通知，根据答辩时专家意见团队进行了会议讨论，并认真进行标准草案修改，5月底形成了征求意见稿。</w:t>
      </w:r>
    </w:p>
    <w:p w14:paraId="7EA17719">
      <w:pPr>
        <w:spacing w:after="80" w:line="360" w:lineRule="auto"/>
        <w:ind w:firstLine="640" w:firstLineChars="200"/>
        <w:rPr>
          <w:rFonts w:hint="default" w:ascii="Times New Roman" w:hAnsi="Times New Roman" w:eastAsia="仿宋_GB2312" w:cs="Times New Roman"/>
          <w:bCs/>
          <w:sz w:val="32"/>
          <w:szCs w:val="32"/>
          <w:lang w:val="en-US" w:eastAsia="zh-CN"/>
        </w:rPr>
      </w:pPr>
      <w:r>
        <w:rPr>
          <w:rFonts w:hint="eastAsia" w:ascii="Times New Roman" w:hAnsi="Times New Roman" w:eastAsia="仿宋_GB2312" w:cs="Times New Roman"/>
          <w:bCs/>
          <w:sz w:val="32"/>
          <w:szCs w:val="32"/>
          <w:lang w:val="en-US" w:eastAsia="zh-CN"/>
        </w:rPr>
        <w:t>征求意见：5月将</w:t>
      </w:r>
      <w:r>
        <w:rPr>
          <w:rFonts w:ascii="Times New Roman" w:hAnsi="Times New Roman" w:eastAsia="仿宋_GB2312" w:cs="Times New Roman"/>
          <w:bCs/>
          <w:sz w:val="32"/>
          <w:szCs w:val="32"/>
        </w:rPr>
        <w:t>《</w:t>
      </w:r>
      <w:r>
        <w:rPr>
          <w:rFonts w:hint="eastAsia" w:ascii="Times New Roman" w:hAnsi="Times New Roman" w:eastAsia="仿宋_GB2312" w:cs="Times New Roman"/>
          <w:bCs/>
          <w:sz w:val="32"/>
          <w:szCs w:val="32"/>
        </w:rPr>
        <w:t>火炬松速生丰产用材林培育技术规程</w:t>
      </w:r>
      <w:r>
        <w:rPr>
          <w:rFonts w:ascii="Times New Roman" w:hAnsi="Times New Roman" w:eastAsia="仿宋_GB2312" w:cs="Times New Roman"/>
          <w:bCs/>
          <w:sz w:val="32"/>
          <w:szCs w:val="32"/>
        </w:rPr>
        <w:t>》</w:t>
      </w:r>
      <w:r>
        <w:rPr>
          <w:rFonts w:hint="eastAsia" w:ascii="Times New Roman" w:hAnsi="Times New Roman" w:eastAsia="仿宋_GB2312" w:cs="Times New Roman"/>
          <w:bCs/>
          <w:sz w:val="32"/>
          <w:szCs w:val="32"/>
          <w:lang w:val="en-US" w:eastAsia="zh-CN"/>
        </w:rPr>
        <w:t>征求意见稿分别发送给中国林业科学研究院亚热带林业研究所、华南农业大学、湖北省林业科学研究院、江西省科学院、江西省林业局宣教中心及抚州市林业科学研究所等6个单位6位专家函审，收到反馈意见6人，共收集意见88条，其中完全采纳63条，部分采纳3条，未采纳22条（详见</w:t>
      </w:r>
      <w:r>
        <w:rPr>
          <w:rFonts w:ascii="Times New Roman" w:hAnsi="Times New Roman" w:eastAsia="仿宋_GB2312" w:cs="Times New Roman"/>
          <w:bCs/>
          <w:sz w:val="32"/>
          <w:szCs w:val="32"/>
        </w:rPr>
        <w:t>《</w:t>
      </w:r>
      <w:r>
        <w:rPr>
          <w:rFonts w:hint="eastAsia" w:ascii="Times New Roman" w:hAnsi="Times New Roman" w:eastAsia="仿宋_GB2312" w:cs="Times New Roman"/>
          <w:bCs/>
          <w:sz w:val="32"/>
          <w:szCs w:val="32"/>
        </w:rPr>
        <w:t>火炬松速生丰产用材林培育技术规程</w:t>
      </w:r>
      <w:r>
        <w:rPr>
          <w:rFonts w:ascii="Times New Roman" w:hAnsi="Times New Roman" w:eastAsia="仿宋_GB2312" w:cs="Times New Roman"/>
          <w:bCs/>
          <w:sz w:val="32"/>
          <w:szCs w:val="32"/>
        </w:rPr>
        <w:t>》江西省地方标准征求意见汇总表</w:t>
      </w:r>
      <w:r>
        <w:rPr>
          <w:rFonts w:hint="eastAsia" w:ascii="Times New Roman" w:hAnsi="Times New Roman" w:eastAsia="仿宋_GB2312" w:cs="Times New Roman"/>
          <w:bCs/>
          <w:sz w:val="32"/>
          <w:szCs w:val="32"/>
          <w:lang w:val="en-US" w:eastAsia="zh-CN"/>
        </w:rPr>
        <w:t>）。</w:t>
      </w:r>
    </w:p>
    <w:p w14:paraId="418BC4F0">
      <w:pPr>
        <w:spacing w:after="80" w:line="360" w:lineRule="auto"/>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四、制定（修订）标准的原则和依据，与现行法律、法规、标准的关系</w:t>
      </w:r>
    </w:p>
    <w:p w14:paraId="746FEF9A">
      <w:pPr>
        <w:spacing w:after="0" w:line="360" w:lineRule="auto"/>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本标准编制遵循“科学、合理、适用和可行”原则，既考虑标准先进性又兼顾生产实际，力求做到科学规范、指标准确、可操作性强。既与国家、林业行业侧面标准接轨，又能指导生产，在生产上切实可行。</w:t>
      </w:r>
    </w:p>
    <w:p w14:paraId="600D69CB">
      <w:pPr>
        <w:spacing w:after="0" w:line="360" w:lineRule="auto"/>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本标准编制时主要依据</w:t>
      </w:r>
      <w:r>
        <w:rPr>
          <w:rFonts w:hint="eastAsia" w:ascii="Times New Roman" w:hAnsi="Times New Roman" w:eastAsia="仿宋_GB2312" w:cs="Times New Roman"/>
          <w:bCs/>
          <w:sz w:val="32"/>
          <w:szCs w:val="32"/>
          <w:lang w:val="en-US" w:eastAsia="zh-CN"/>
        </w:rPr>
        <w:t>火炬松科研项目的试验结果和</w:t>
      </w:r>
      <w:r>
        <w:rPr>
          <w:rFonts w:ascii="Times New Roman" w:hAnsi="Times New Roman" w:eastAsia="仿宋_GB2312" w:cs="Times New Roman"/>
          <w:bCs/>
          <w:kern w:val="2"/>
          <w:sz w:val="32"/>
          <w:szCs w:val="32"/>
        </w:rPr>
        <w:t>和</w:t>
      </w:r>
      <w:r>
        <w:rPr>
          <w:rFonts w:hint="eastAsia" w:ascii="Times New Roman" w:hAnsi="Times New Roman" w:eastAsia="仿宋_GB2312" w:cs="Times New Roman"/>
          <w:bCs/>
          <w:kern w:val="2"/>
          <w:sz w:val="32"/>
          <w:szCs w:val="32"/>
          <w:lang w:val="en-US" w:eastAsia="zh-CN"/>
        </w:rPr>
        <w:t>实际的</w:t>
      </w:r>
      <w:r>
        <w:rPr>
          <w:rFonts w:ascii="Times New Roman" w:hAnsi="Times New Roman" w:eastAsia="仿宋_GB2312" w:cs="Times New Roman"/>
          <w:bCs/>
          <w:kern w:val="2"/>
          <w:sz w:val="32"/>
          <w:szCs w:val="32"/>
        </w:rPr>
        <w:t>生产实践</w:t>
      </w:r>
      <w:r>
        <w:rPr>
          <w:rFonts w:hint="eastAsia" w:ascii="Times New Roman" w:hAnsi="Times New Roman" w:eastAsia="仿宋_GB2312" w:cs="Times New Roman"/>
          <w:bCs/>
          <w:kern w:val="2"/>
          <w:sz w:val="32"/>
          <w:szCs w:val="32"/>
          <w:lang w:val="en-US" w:eastAsia="zh-CN"/>
        </w:rPr>
        <w:t>经验</w:t>
      </w:r>
      <w:r>
        <w:rPr>
          <w:rFonts w:ascii="Times New Roman" w:hAnsi="Times New Roman" w:eastAsia="仿宋_GB2312" w:cs="Times New Roman"/>
          <w:bCs/>
          <w:kern w:val="2"/>
          <w:sz w:val="32"/>
          <w:szCs w:val="32"/>
        </w:rPr>
        <w:t>，参照国内有关研究资料和科研成果，并依据现有标准包括</w:t>
      </w:r>
      <w:r>
        <w:rPr>
          <w:rFonts w:ascii="Times New Roman" w:hAnsi="Times New Roman" w:eastAsia="仿宋_GB2312" w:cs="Times New Roman"/>
          <w:bCs/>
          <w:sz w:val="32"/>
          <w:szCs w:val="32"/>
        </w:rPr>
        <w:t>GB 6000 主要造林树种苗木质量分级、LY/T 2842 林业常用药剂合理使用准则、</w:t>
      </w:r>
      <w:r>
        <w:rPr>
          <w:rFonts w:hint="eastAsia" w:ascii="Times New Roman" w:hAnsi="Times New Roman" w:eastAsia="仿宋_GB2312" w:cs="Times New Roman"/>
          <w:bCs/>
          <w:sz w:val="32"/>
          <w:szCs w:val="32"/>
        </w:rPr>
        <w:t>LY/T 1706速生丰产用材林培育技术规程LY/T 1824湿地松、火炬松培育技术规程</w:t>
      </w:r>
      <w:r>
        <w:rPr>
          <w:rFonts w:ascii="Times New Roman" w:hAnsi="Times New Roman" w:eastAsia="仿宋_GB2312" w:cs="Times New Roman"/>
          <w:bCs/>
          <w:sz w:val="32"/>
          <w:szCs w:val="32"/>
        </w:rPr>
        <w:t>等。</w:t>
      </w:r>
      <w:r>
        <w:rPr>
          <w:rFonts w:ascii="Times New Roman" w:hAnsi="Times New Roman" w:eastAsia="仿宋_GB2312" w:cs="Times New Roman"/>
          <w:bCs/>
          <w:kern w:val="2"/>
          <w:sz w:val="32"/>
          <w:szCs w:val="32"/>
        </w:rPr>
        <w:t>本标准是在我国现行法律、法规框架下制订的，同时注意与相关法律、法规和强制性标准之间的衔接。故</w:t>
      </w:r>
      <w:r>
        <w:rPr>
          <w:rFonts w:ascii="Times New Roman" w:hAnsi="Times New Roman" w:eastAsia="仿宋_GB2312" w:cs="Times New Roman"/>
          <w:bCs/>
          <w:sz w:val="32"/>
          <w:szCs w:val="32"/>
        </w:rPr>
        <w:t>本标准与上述等国内现行法律、法规和标准相协调，不存在重复、交叉、不协调等矛盾。</w:t>
      </w:r>
    </w:p>
    <w:p w14:paraId="722B8E21">
      <w:pPr>
        <w:spacing w:after="80" w:line="360" w:lineRule="auto"/>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 xml:space="preserve">五、主要条款的说明 </w:t>
      </w:r>
    </w:p>
    <w:p w14:paraId="7EC69A06">
      <w:pPr>
        <w:spacing w:line="360" w:lineRule="auto"/>
        <w:ind w:firstLine="640" w:firstLineChars="200"/>
        <w:rPr>
          <w:rFonts w:ascii="Times New Roman" w:hAnsi="Times New Roman" w:eastAsia="楷体_GB2312" w:cs="Times New Roman"/>
          <w:bCs/>
          <w:sz w:val="32"/>
          <w:szCs w:val="32"/>
        </w:rPr>
      </w:pPr>
      <w:r>
        <w:rPr>
          <w:rFonts w:ascii="Times New Roman" w:hAnsi="Times New Roman" w:eastAsia="楷体_GB2312" w:cs="Times New Roman"/>
          <w:bCs/>
          <w:sz w:val="32"/>
          <w:szCs w:val="32"/>
        </w:rPr>
        <w:t>（一）本标准主要技术条款规定的内容</w:t>
      </w:r>
    </w:p>
    <w:p w14:paraId="36AD83D0">
      <w:pPr>
        <w:spacing w:after="0" w:line="360" w:lineRule="auto"/>
        <w:ind w:firstLine="640" w:firstLineChars="200"/>
        <w:rPr>
          <w:rFonts w:hint="eastAsia"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rPr>
        <w:t>1. 培育目标</w:t>
      </w:r>
    </w:p>
    <w:p w14:paraId="0C99AC0B">
      <w:pPr>
        <w:spacing w:after="0" w:line="360" w:lineRule="auto"/>
        <w:ind w:firstLine="640" w:firstLineChars="200"/>
        <w:rPr>
          <w:rFonts w:hint="default"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rPr>
        <w:t>本部分规定了火炬松速生丰产用材林的培育目标、不同径级材的培育周期及不同林龄生长量指标。</w:t>
      </w:r>
    </w:p>
    <w:p w14:paraId="0A904173">
      <w:pPr>
        <w:spacing w:after="0" w:line="360" w:lineRule="auto"/>
        <w:ind w:firstLine="640" w:firstLineChars="200"/>
        <w:rPr>
          <w:rFonts w:hint="default"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rPr>
        <w:t>2</w:t>
      </w:r>
      <w:r>
        <w:rPr>
          <w:rFonts w:ascii="Times New Roman" w:hAnsi="Times New Roman" w:eastAsia="仿宋_GB2312" w:cs="Times New Roman"/>
          <w:bCs/>
          <w:kern w:val="2"/>
          <w:sz w:val="32"/>
          <w:szCs w:val="32"/>
        </w:rPr>
        <w:t xml:space="preserve">. </w:t>
      </w:r>
      <w:r>
        <w:rPr>
          <w:rFonts w:hint="eastAsia" w:ascii="Times New Roman" w:hAnsi="Times New Roman" w:eastAsia="仿宋_GB2312" w:cs="Times New Roman"/>
          <w:bCs/>
          <w:kern w:val="2"/>
          <w:sz w:val="32"/>
          <w:szCs w:val="32"/>
          <w:lang w:val="en-US" w:eastAsia="zh-CN"/>
        </w:rPr>
        <w:t>实生苗培育</w:t>
      </w:r>
    </w:p>
    <w:p w14:paraId="6D485677">
      <w:pPr>
        <w:spacing w:after="0" w:line="360" w:lineRule="auto"/>
        <w:ind w:firstLine="640" w:firstLineChars="200"/>
        <w:rPr>
          <w:rFonts w:ascii="Times New Roman" w:hAnsi="Times New Roman" w:eastAsia="仿宋_GB2312" w:cs="Times New Roman"/>
          <w:bCs/>
          <w:kern w:val="2"/>
          <w:sz w:val="32"/>
          <w:szCs w:val="32"/>
        </w:rPr>
      </w:pPr>
      <w:r>
        <w:rPr>
          <w:rFonts w:ascii="Times New Roman" w:hAnsi="Times New Roman" w:eastAsia="仿宋_GB2312" w:cs="Times New Roman"/>
          <w:bCs/>
          <w:kern w:val="2"/>
          <w:sz w:val="32"/>
          <w:szCs w:val="32"/>
        </w:rPr>
        <w:t>本部分明确了火炬松</w:t>
      </w:r>
      <w:r>
        <w:rPr>
          <w:rFonts w:hint="eastAsia" w:ascii="Times New Roman" w:hAnsi="Times New Roman" w:eastAsia="仿宋_GB2312" w:cs="Times New Roman"/>
          <w:bCs/>
          <w:kern w:val="2"/>
          <w:sz w:val="32"/>
          <w:szCs w:val="32"/>
          <w:lang w:val="en-US" w:eastAsia="zh-CN"/>
        </w:rPr>
        <w:t>种子采收、处理与保存、圃地准备、营养土配制及装袋、催芽播种、芽苗移栽及苗期管理</w:t>
      </w:r>
      <w:r>
        <w:rPr>
          <w:rFonts w:ascii="Times New Roman" w:hAnsi="Times New Roman" w:eastAsia="仿宋_GB2312" w:cs="Times New Roman"/>
          <w:bCs/>
          <w:kern w:val="2"/>
          <w:sz w:val="32"/>
          <w:szCs w:val="32"/>
        </w:rPr>
        <w:t>等的条件和要求。</w:t>
      </w:r>
    </w:p>
    <w:p w14:paraId="6970A9DE">
      <w:pPr>
        <w:spacing w:after="0" w:line="360" w:lineRule="auto"/>
        <w:ind w:firstLine="640" w:firstLineChars="200"/>
        <w:rPr>
          <w:rFonts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lang w:val="en-US" w:eastAsia="zh-CN"/>
        </w:rPr>
        <w:t>3</w:t>
      </w:r>
      <w:r>
        <w:rPr>
          <w:rFonts w:ascii="Times New Roman" w:hAnsi="Times New Roman" w:eastAsia="仿宋_GB2312" w:cs="Times New Roman"/>
          <w:bCs/>
          <w:kern w:val="2"/>
          <w:sz w:val="32"/>
          <w:szCs w:val="32"/>
        </w:rPr>
        <w:t xml:space="preserve">. </w:t>
      </w:r>
      <w:r>
        <w:rPr>
          <w:rFonts w:hint="eastAsia" w:ascii="Times New Roman" w:hAnsi="Times New Roman" w:eastAsia="仿宋_GB2312" w:cs="Times New Roman"/>
          <w:bCs/>
          <w:kern w:val="2"/>
          <w:sz w:val="32"/>
          <w:szCs w:val="32"/>
        </w:rPr>
        <w:t>嫁接苗培育</w:t>
      </w:r>
    </w:p>
    <w:p w14:paraId="4EE5F23A">
      <w:pPr>
        <w:spacing w:after="0" w:line="360" w:lineRule="auto"/>
        <w:ind w:firstLine="640" w:firstLineChars="200"/>
        <w:rPr>
          <w:rFonts w:ascii="Times New Roman" w:hAnsi="Times New Roman" w:eastAsia="仿宋_GB2312" w:cs="Times New Roman"/>
          <w:bCs/>
          <w:kern w:val="2"/>
          <w:sz w:val="32"/>
          <w:szCs w:val="32"/>
        </w:rPr>
      </w:pPr>
      <w:r>
        <w:rPr>
          <w:rFonts w:ascii="Times New Roman" w:hAnsi="Times New Roman" w:eastAsia="仿宋_GB2312" w:cs="Times New Roman"/>
          <w:bCs/>
          <w:kern w:val="2"/>
          <w:sz w:val="32"/>
          <w:szCs w:val="32"/>
        </w:rPr>
        <w:t>本部分明确了</w:t>
      </w:r>
      <w:r>
        <w:rPr>
          <w:rFonts w:hint="eastAsia" w:ascii="Times New Roman" w:hAnsi="Times New Roman" w:eastAsia="仿宋_GB2312" w:cs="Times New Roman"/>
          <w:bCs/>
          <w:kern w:val="2"/>
          <w:sz w:val="32"/>
          <w:szCs w:val="32"/>
          <w:lang w:val="en-US" w:eastAsia="zh-CN"/>
        </w:rPr>
        <w:t>嫁接砧木培育</w:t>
      </w:r>
      <w:r>
        <w:rPr>
          <w:rFonts w:ascii="Times New Roman" w:hAnsi="Times New Roman" w:eastAsia="仿宋_GB2312" w:cs="Times New Roman"/>
          <w:bCs/>
          <w:kern w:val="2"/>
          <w:sz w:val="32"/>
          <w:szCs w:val="32"/>
        </w:rPr>
        <w:t>、</w:t>
      </w:r>
      <w:r>
        <w:rPr>
          <w:rFonts w:hint="eastAsia" w:ascii="Times New Roman" w:hAnsi="Times New Roman" w:eastAsia="仿宋_GB2312" w:cs="Times New Roman"/>
          <w:bCs/>
          <w:kern w:val="2"/>
          <w:sz w:val="32"/>
          <w:szCs w:val="32"/>
          <w:lang w:val="en-US" w:eastAsia="zh-CN"/>
        </w:rPr>
        <w:t>穗条的采集与保存</w:t>
      </w:r>
      <w:r>
        <w:rPr>
          <w:rFonts w:ascii="Times New Roman" w:hAnsi="Times New Roman" w:eastAsia="仿宋_GB2312" w:cs="Times New Roman"/>
          <w:bCs/>
          <w:kern w:val="2"/>
          <w:sz w:val="32"/>
          <w:szCs w:val="32"/>
        </w:rPr>
        <w:t>、</w:t>
      </w:r>
      <w:r>
        <w:rPr>
          <w:rFonts w:hint="eastAsia" w:ascii="Times New Roman" w:hAnsi="Times New Roman" w:eastAsia="仿宋_GB2312" w:cs="Times New Roman"/>
          <w:bCs/>
          <w:kern w:val="2"/>
          <w:sz w:val="32"/>
          <w:szCs w:val="32"/>
          <w:lang w:val="en-US" w:eastAsia="zh-CN"/>
        </w:rPr>
        <w:t>嫁接及嫁接苗管理等的技术和要求</w:t>
      </w:r>
      <w:r>
        <w:rPr>
          <w:rFonts w:ascii="Times New Roman" w:hAnsi="Times New Roman" w:eastAsia="仿宋_GB2312" w:cs="Times New Roman"/>
          <w:bCs/>
          <w:kern w:val="2"/>
          <w:sz w:val="32"/>
          <w:szCs w:val="32"/>
        </w:rPr>
        <w:t>。</w:t>
      </w:r>
    </w:p>
    <w:p w14:paraId="6A8BDF2C">
      <w:pPr>
        <w:spacing w:after="0" w:line="360" w:lineRule="auto"/>
        <w:ind w:firstLine="640" w:firstLineChars="200"/>
        <w:rPr>
          <w:rFonts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lang w:val="en-US" w:eastAsia="zh-CN"/>
        </w:rPr>
        <w:t>4</w:t>
      </w:r>
      <w:r>
        <w:rPr>
          <w:rFonts w:ascii="Times New Roman" w:hAnsi="Times New Roman" w:eastAsia="仿宋_GB2312" w:cs="Times New Roman"/>
          <w:bCs/>
          <w:kern w:val="2"/>
          <w:sz w:val="32"/>
          <w:szCs w:val="32"/>
        </w:rPr>
        <w:t xml:space="preserve">. </w:t>
      </w:r>
      <w:r>
        <w:rPr>
          <w:rFonts w:hint="eastAsia" w:ascii="Times New Roman" w:hAnsi="Times New Roman" w:eastAsia="仿宋_GB2312" w:cs="Times New Roman"/>
          <w:bCs/>
          <w:kern w:val="2"/>
          <w:sz w:val="32"/>
          <w:szCs w:val="32"/>
        </w:rPr>
        <w:t>扦插苗培育</w:t>
      </w:r>
    </w:p>
    <w:p w14:paraId="395E0182">
      <w:pPr>
        <w:spacing w:after="0" w:line="360" w:lineRule="auto"/>
        <w:ind w:firstLine="640" w:firstLineChars="200"/>
        <w:rPr>
          <w:rFonts w:ascii="Times New Roman" w:hAnsi="Times New Roman" w:eastAsia="仿宋_GB2312" w:cs="Times New Roman"/>
          <w:bCs/>
          <w:kern w:val="2"/>
          <w:sz w:val="32"/>
          <w:szCs w:val="32"/>
        </w:rPr>
      </w:pPr>
      <w:r>
        <w:rPr>
          <w:rFonts w:ascii="Times New Roman" w:hAnsi="Times New Roman" w:eastAsia="仿宋_GB2312" w:cs="Times New Roman"/>
          <w:bCs/>
          <w:kern w:val="2"/>
          <w:sz w:val="32"/>
          <w:szCs w:val="32"/>
        </w:rPr>
        <w:t>本部分主要明确了</w:t>
      </w:r>
      <w:r>
        <w:rPr>
          <w:rFonts w:hint="eastAsia" w:ascii="Times New Roman" w:hAnsi="Times New Roman" w:eastAsia="仿宋_GB2312" w:cs="Times New Roman"/>
          <w:bCs/>
          <w:kern w:val="2"/>
          <w:sz w:val="32"/>
          <w:szCs w:val="32"/>
          <w:lang w:val="en-US" w:eastAsia="zh-CN"/>
        </w:rPr>
        <w:t>采穗圃营建、穗条采集、扦插与插后管理等方面的技术要求</w:t>
      </w:r>
      <w:r>
        <w:rPr>
          <w:rFonts w:ascii="Times New Roman" w:hAnsi="Times New Roman" w:eastAsia="仿宋_GB2312" w:cs="Times New Roman"/>
          <w:bCs/>
          <w:kern w:val="2"/>
          <w:sz w:val="32"/>
          <w:szCs w:val="32"/>
        </w:rPr>
        <w:t>。</w:t>
      </w:r>
    </w:p>
    <w:p w14:paraId="724B23F1">
      <w:pPr>
        <w:spacing w:after="0" w:line="360" w:lineRule="auto"/>
        <w:ind w:firstLine="640" w:firstLineChars="200"/>
        <w:rPr>
          <w:rFonts w:hint="default"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rPr>
        <w:t>5</w:t>
      </w:r>
      <w:r>
        <w:rPr>
          <w:rFonts w:ascii="Times New Roman" w:hAnsi="Times New Roman" w:eastAsia="仿宋_GB2312" w:cs="Times New Roman"/>
          <w:bCs/>
          <w:kern w:val="2"/>
          <w:sz w:val="32"/>
          <w:szCs w:val="32"/>
        </w:rPr>
        <w:t xml:space="preserve">. </w:t>
      </w:r>
      <w:r>
        <w:rPr>
          <w:rFonts w:hint="eastAsia" w:ascii="Times New Roman" w:hAnsi="Times New Roman" w:eastAsia="仿宋_GB2312" w:cs="Times New Roman"/>
          <w:bCs/>
          <w:kern w:val="2"/>
          <w:sz w:val="32"/>
          <w:szCs w:val="32"/>
          <w:lang w:val="en-US" w:eastAsia="zh-CN"/>
        </w:rPr>
        <w:t>苗木出圃</w:t>
      </w:r>
    </w:p>
    <w:p w14:paraId="76C4E863">
      <w:pPr>
        <w:spacing w:after="0" w:line="360" w:lineRule="auto"/>
        <w:ind w:firstLine="640" w:firstLineChars="200"/>
        <w:rPr>
          <w:rFonts w:ascii="Times New Roman" w:hAnsi="Times New Roman" w:eastAsia="仿宋_GB2312" w:cs="Times New Roman"/>
          <w:bCs/>
          <w:kern w:val="2"/>
          <w:sz w:val="32"/>
          <w:szCs w:val="32"/>
        </w:rPr>
      </w:pPr>
      <w:r>
        <w:rPr>
          <w:rFonts w:ascii="Times New Roman" w:hAnsi="Times New Roman" w:eastAsia="仿宋_GB2312" w:cs="Times New Roman"/>
          <w:bCs/>
          <w:kern w:val="2"/>
          <w:sz w:val="32"/>
          <w:szCs w:val="32"/>
        </w:rPr>
        <w:t>本部分</w:t>
      </w:r>
      <w:r>
        <w:rPr>
          <w:rFonts w:hint="eastAsia" w:ascii="Times New Roman" w:hAnsi="Times New Roman" w:eastAsia="仿宋_GB2312" w:cs="Times New Roman"/>
          <w:bCs/>
          <w:kern w:val="2"/>
          <w:sz w:val="32"/>
          <w:szCs w:val="32"/>
          <w:lang w:val="en-US" w:eastAsia="zh-CN"/>
        </w:rPr>
        <w:t>规定了苗木出圃时间、实生苗/嫁接苗/扦插苗、苗木检验、起苗与运输等方面的</w:t>
      </w:r>
      <w:r>
        <w:rPr>
          <w:rFonts w:ascii="Times New Roman" w:hAnsi="Times New Roman" w:eastAsia="仿宋_GB2312" w:cs="Times New Roman"/>
          <w:bCs/>
          <w:kern w:val="2"/>
          <w:sz w:val="32"/>
          <w:szCs w:val="32"/>
        </w:rPr>
        <w:t>条件和要求。</w:t>
      </w:r>
    </w:p>
    <w:p w14:paraId="3CDFEFE1">
      <w:pPr>
        <w:numPr>
          <w:ilvl w:val="0"/>
          <w:numId w:val="0"/>
        </w:numPr>
        <w:spacing w:after="0" w:line="360" w:lineRule="auto"/>
        <w:ind w:firstLine="640" w:firstLineChars="200"/>
        <w:rPr>
          <w:rFonts w:hint="eastAsia"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bidi="ar-SA"/>
        </w:rPr>
        <w:t>6.</w:t>
      </w:r>
      <w:r>
        <w:rPr>
          <w:rFonts w:hint="eastAsia" w:ascii="Times New Roman" w:hAnsi="Times New Roman" w:eastAsia="仿宋_GB2312" w:cs="Times New Roman"/>
          <w:bCs/>
          <w:kern w:val="2"/>
          <w:sz w:val="32"/>
          <w:szCs w:val="32"/>
          <w:lang w:val="en-US" w:eastAsia="zh-CN"/>
        </w:rPr>
        <w:t>造林</w:t>
      </w:r>
    </w:p>
    <w:p w14:paraId="6B63E076">
      <w:pPr>
        <w:spacing w:after="0" w:line="360" w:lineRule="auto"/>
        <w:ind w:firstLine="640" w:firstLineChars="200"/>
        <w:rPr>
          <w:rFonts w:ascii="Times New Roman" w:hAnsi="Times New Roman" w:eastAsia="仿宋_GB2312" w:cs="Times New Roman"/>
          <w:bCs/>
          <w:kern w:val="2"/>
          <w:sz w:val="32"/>
          <w:szCs w:val="32"/>
        </w:rPr>
      </w:pPr>
      <w:r>
        <w:rPr>
          <w:rFonts w:ascii="Times New Roman" w:hAnsi="Times New Roman" w:eastAsia="仿宋_GB2312" w:cs="Times New Roman"/>
          <w:bCs/>
          <w:kern w:val="2"/>
          <w:sz w:val="32"/>
          <w:szCs w:val="32"/>
        </w:rPr>
        <w:t>本部分明确了</w:t>
      </w:r>
      <w:r>
        <w:rPr>
          <w:rFonts w:hint="eastAsia" w:ascii="Times New Roman" w:hAnsi="Times New Roman" w:eastAsia="仿宋_GB2312" w:cs="Times New Roman"/>
          <w:bCs/>
          <w:kern w:val="2"/>
          <w:sz w:val="32"/>
          <w:szCs w:val="32"/>
          <w:lang w:val="en-US" w:eastAsia="zh-CN"/>
        </w:rPr>
        <w:t>造林地选择、清山、整地挖穴、造林时间、不同营林目的的造林密度和造林技术</w:t>
      </w:r>
      <w:r>
        <w:rPr>
          <w:rFonts w:ascii="Times New Roman" w:hAnsi="Times New Roman" w:eastAsia="仿宋_GB2312" w:cs="Times New Roman"/>
          <w:bCs/>
          <w:kern w:val="2"/>
          <w:sz w:val="32"/>
          <w:szCs w:val="32"/>
        </w:rPr>
        <w:t>等</w:t>
      </w:r>
      <w:r>
        <w:rPr>
          <w:rFonts w:hint="eastAsia" w:ascii="Times New Roman" w:hAnsi="Times New Roman" w:eastAsia="仿宋_GB2312" w:cs="Times New Roman"/>
          <w:bCs/>
          <w:kern w:val="2"/>
          <w:sz w:val="32"/>
          <w:szCs w:val="32"/>
          <w:lang w:val="en-US" w:eastAsia="zh-CN"/>
        </w:rPr>
        <w:t>方面的要求和</w:t>
      </w:r>
      <w:r>
        <w:rPr>
          <w:rFonts w:ascii="Times New Roman" w:hAnsi="Times New Roman" w:eastAsia="仿宋_GB2312" w:cs="Times New Roman"/>
          <w:bCs/>
          <w:kern w:val="2"/>
          <w:sz w:val="32"/>
          <w:szCs w:val="32"/>
        </w:rPr>
        <w:t>方法。</w:t>
      </w:r>
    </w:p>
    <w:p w14:paraId="7FC6BFDB">
      <w:pPr>
        <w:spacing w:after="0" w:line="360" w:lineRule="auto"/>
        <w:ind w:firstLine="640" w:firstLineChars="200"/>
        <w:rPr>
          <w:rFonts w:hint="default"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rPr>
        <w:t>7. 抚育管理</w:t>
      </w:r>
    </w:p>
    <w:p w14:paraId="5D3DFFDF">
      <w:pPr>
        <w:spacing w:after="0" w:line="360" w:lineRule="auto"/>
        <w:ind w:firstLine="640" w:firstLineChars="200"/>
        <w:rPr>
          <w:rFonts w:hint="eastAsia"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rPr>
        <w:t>本部分明确了幼林抚育中的补植、松土除草、追肥与管护，中林抚育中间伐、大径材培育中修枝整形和病虫害防治等方面的技术和要求。</w:t>
      </w:r>
    </w:p>
    <w:p w14:paraId="0684D0C1">
      <w:pPr>
        <w:numPr>
          <w:ilvl w:val="0"/>
          <w:numId w:val="0"/>
        </w:numPr>
        <w:spacing w:after="0" w:line="360" w:lineRule="auto"/>
        <w:ind w:left="0" w:leftChars="0" w:firstLine="640" w:firstLineChars="200"/>
        <w:rPr>
          <w:rFonts w:hint="eastAsia"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bidi="ar-SA"/>
        </w:rPr>
        <w:t>8.</w:t>
      </w:r>
      <w:r>
        <w:rPr>
          <w:rFonts w:hint="eastAsia" w:ascii="Times New Roman" w:hAnsi="Times New Roman" w:eastAsia="仿宋_GB2312" w:cs="Times New Roman"/>
          <w:bCs/>
          <w:kern w:val="2"/>
          <w:sz w:val="32"/>
          <w:szCs w:val="32"/>
          <w:lang w:val="en-US" w:eastAsia="zh-CN"/>
        </w:rPr>
        <w:t>采伐</w:t>
      </w:r>
    </w:p>
    <w:p w14:paraId="3921C8AB">
      <w:pPr>
        <w:keepNext w:val="0"/>
        <w:keepLines w:val="0"/>
        <w:pageBreakBefore w:val="0"/>
        <w:widowControl/>
        <w:numPr>
          <w:numId w:val="0"/>
        </w:numPr>
        <w:kinsoku/>
        <w:wordWrap/>
        <w:overflowPunct/>
        <w:topLinePunct w:val="0"/>
        <w:autoSpaceDE/>
        <w:autoSpaceDN/>
        <w:bidi w:val="0"/>
        <w:adjustRightInd/>
        <w:snapToGrid/>
        <w:spacing w:after="0" w:line="360" w:lineRule="auto"/>
        <w:ind w:firstLine="640" w:firstLineChars="200"/>
        <w:textAlignment w:val="auto"/>
        <w:rPr>
          <w:rFonts w:hint="default"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rPr>
        <w:t>本部分主要规定了采伐方式、轮伐期及采伐作业的相关要求。</w:t>
      </w:r>
    </w:p>
    <w:p w14:paraId="120F91C5">
      <w:pPr>
        <w:numPr>
          <w:ilvl w:val="0"/>
          <w:numId w:val="0"/>
        </w:numPr>
        <w:spacing w:after="0" w:line="360" w:lineRule="auto"/>
        <w:ind w:firstLine="640" w:firstLineChars="200"/>
        <w:rPr>
          <w:rFonts w:hint="default"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bidi="ar-SA"/>
        </w:rPr>
        <w:t>9.</w:t>
      </w:r>
      <w:r>
        <w:rPr>
          <w:rFonts w:hint="eastAsia" w:ascii="Times New Roman" w:hAnsi="Times New Roman" w:eastAsia="仿宋_GB2312" w:cs="Times New Roman"/>
          <w:bCs/>
          <w:kern w:val="2"/>
          <w:sz w:val="32"/>
          <w:szCs w:val="32"/>
          <w:lang w:val="en-US" w:eastAsia="zh-CN"/>
        </w:rPr>
        <w:t>档案管理</w:t>
      </w:r>
    </w:p>
    <w:p w14:paraId="73937B83">
      <w:pPr>
        <w:spacing w:after="0" w:line="360" w:lineRule="auto"/>
        <w:ind w:firstLine="640" w:firstLineChars="200"/>
        <w:rPr>
          <w:rFonts w:ascii="Times New Roman" w:hAnsi="Times New Roman" w:eastAsia="仿宋_GB2312" w:cs="Times New Roman"/>
          <w:bCs/>
          <w:kern w:val="2"/>
          <w:sz w:val="32"/>
          <w:szCs w:val="32"/>
        </w:rPr>
      </w:pPr>
      <w:r>
        <w:rPr>
          <w:rFonts w:ascii="Times New Roman" w:hAnsi="Times New Roman" w:eastAsia="仿宋_GB2312" w:cs="Times New Roman"/>
          <w:bCs/>
          <w:kern w:val="2"/>
          <w:sz w:val="32"/>
          <w:szCs w:val="32"/>
        </w:rPr>
        <w:t>本部分主要参照</w:t>
      </w:r>
      <w:r>
        <w:rPr>
          <w:rFonts w:hint="eastAsia" w:ascii="Times New Roman" w:hAnsi="Times New Roman" w:eastAsia="仿宋_GB2312" w:cs="Times New Roman"/>
          <w:bCs/>
          <w:kern w:val="2"/>
          <w:sz w:val="32"/>
          <w:szCs w:val="32"/>
        </w:rPr>
        <w:t>种苗生产档案管理参照LY/T 2289规定执行，造林技术档案管理参照GB/T 15776执行</w:t>
      </w:r>
      <w:r>
        <w:rPr>
          <w:rFonts w:ascii="Times New Roman" w:hAnsi="Times New Roman" w:eastAsia="仿宋_GB2312" w:cs="Times New Roman"/>
          <w:bCs/>
          <w:kern w:val="2"/>
          <w:sz w:val="32"/>
          <w:szCs w:val="32"/>
        </w:rPr>
        <w:t>。</w:t>
      </w:r>
    </w:p>
    <w:p w14:paraId="3CB4BBDC">
      <w:pPr>
        <w:spacing w:line="360" w:lineRule="auto"/>
        <w:ind w:firstLine="640" w:firstLineChars="200"/>
        <w:rPr>
          <w:rFonts w:ascii="Times New Roman" w:hAnsi="Times New Roman" w:eastAsia="楷体_GB2312" w:cs="Times New Roman"/>
          <w:bCs/>
          <w:sz w:val="32"/>
          <w:szCs w:val="32"/>
        </w:rPr>
      </w:pPr>
      <w:r>
        <w:rPr>
          <w:rFonts w:ascii="Times New Roman" w:hAnsi="Times New Roman" w:eastAsia="楷体_GB2312" w:cs="Times New Roman"/>
          <w:bCs/>
          <w:sz w:val="32"/>
          <w:szCs w:val="32"/>
        </w:rPr>
        <w:t>（二）主要试验的分析</w:t>
      </w:r>
    </w:p>
    <w:p w14:paraId="780862C6">
      <w:pPr>
        <w:spacing w:after="0" w:line="360" w:lineRule="auto"/>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kern w:val="2"/>
          <w:sz w:val="32"/>
          <w:szCs w:val="32"/>
        </w:rPr>
        <w:t>本标准技术数据由项目组在完成</w:t>
      </w:r>
      <w:r>
        <w:rPr>
          <w:rFonts w:ascii="Times New Roman" w:hAnsi="Times New Roman" w:eastAsia="仿宋_GB2312" w:cs="Times New Roman"/>
          <w:bCs/>
          <w:sz w:val="32"/>
          <w:szCs w:val="32"/>
        </w:rPr>
        <w:t>省林业厅林业科技创新项目</w:t>
      </w:r>
      <w:r>
        <w:rPr>
          <w:rFonts w:hint="eastAsia" w:ascii="Times New Roman" w:hAnsi="Times New Roman" w:eastAsia="仿宋_GB2312" w:cs="Times New Roman"/>
          <w:bCs/>
          <w:sz w:val="32"/>
          <w:szCs w:val="32"/>
          <w:lang w:eastAsia="zh-CN"/>
        </w:rPr>
        <w:t>“</w:t>
      </w:r>
      <w:r>
        <w:rPr>
          <w:rFonts w:ascii="Times New Roman" w:hAnsi="Times New Roman" w:eastAsia="仿宋_GB2312" w:cs="Times New Roman"/>
          <w:bCs/>
          <w:sz w:val="32"/>
          <w:szCs w:val="32"/>
        </w:rPr>
        <w:t>国外松引种测定及体胚发生技术研究</w:t>
      </w:r>
      <w:r>
        <w:rPr>
          <w:rFonts w:hint="eastAsia" w:ascii="Times New Roman" w:hAnsi="Times New Roman" w:eastAsia="仿宋_GB2312" w:cs="Times New Roman"/>
          <w:bCs/>
          <w:sz w:val="32"/>
          <w:szCs w:val="32"/>
          <w:lang w:eastAsia="zh-CN"/>
        </w:rPr>
        <w:t>”、</w:t>
      </w:r>
      <w:r>
        <w:rPr>
          <w:rFonts w:ascii="Times New Roman" w:hAnsi="Times New Roman" w:eastAsia="仿宋_GB2312" w:cs="Times New Roman"/>
          <w:bCs/>
          <w:sz w:val="32"/>
          <w:szCs w:val="32"/>
        </w:rPr>
        <w:t>省财政专项项目</w:t>
      </w:r>
      <w:r>
        <w:rPr>
          <w:rFonts w:hint="eastAsia" w:ascii="Times New Roman" w:hAnsi="Times New Roman" w:eastAsia="仿宋_GB2312" w:cs="Times New Roman"/>
          <w:bCs/>
          <w:sz w:val="32"/>
          <w:szCs w:val="32"/>
          <w:lang w:eastAsia="zh-CN"/>
        </w:rPr>
        <w:t>“</w:t>
      </w:r>
      <w:r>
        <w:rPr>
          <w:rFonts w:hint="eastAsia" w:ascii="Times New Roman" w:hAnsi="Times New Roman" w:eastAsia="仿宋_GB2312" w:cs="Times New Roman"/>
          <w:bCs/>
          <w:sz w:val="32"/>
          <w:szCs w:val="32"/>
          <w:lang w:val="en-US" w:eastAsia="zh-CN"/>
        </w:rPr>
        <w:t>湿地松和火炬松高世代优树资源收集与评价</w:t>
      </w:r>
      <w:r>
        <w:rPr>
          <w:rFonts w:hint="eastAsia" w:ascii="Times New Roman" w:hAnsi="Times New Roman" w:eastAsia="仿宋_GB2312" w:cs="Times New Roman"/>
          <w:bCs/>
          <w:sz w:val="32"/>
          <w:szCs w:val="32"/>
          <w:lang w:eastAsia="zh-CN"/>
        </w:rPr>
        <w:t>”</w:t>
      </w:r>
      <w:r>
        <w:rPr>
          <w:rFonts w:hint="eastAsia" w:ascii="Times New Roman" w:hAnsi="Times New Roman" w:eastAsia="仿宋_GB2312" w:cs="Times New Roman"/>
          <w:bCs/>
          <w:sz w:val="32"/>
          <w:szCs w:val="32"/>
          <w:lang w:val="en-US" w:eastAsia="zh-CN"/>
        </w:rPr>
        <w:t>和</w:t>
      </w:r>
      <w:r>
        <w:rPr>
          <w:rFonts w:hint="eastAsia" w:ascii="Times New Roman" w:hAnsi="Times New Roman" w:eastAsia="仿宋_GB2312" w:cs="Times New Roman"/>
          <w:bCs/>
          <w:sz w:val="32"/>
          <w:szCs w:val="32"/>
          <w:lang w:eastAsia="zh-CN"/>
        </w:rPr>
        <w:t>“</w:t>
      </w:r>
      <w:r>
        <w:rPr>
          <w:rFonts w:ascii="Times New Roman" w:hAnsi="Times New Roman" w:eastAsia="仿宋_GB2312" w:cs="Times New Roman"/>
          <w:bCs/>
          <w:sz w:val="32"/>
          <w:szCs w:val="32"/>
        </w:rPr>
        <w:t>湿地松和火炬松采穗圃营建及扦插繁殖技术研究</w:t>
      </w:r>
      <w:r>
        <w:rPr>
          <w:rFonts w:hint="eastAsia" w:ascii="Times New Roman" w:hAnsi="Times New Roman" w:eastAsia="仿宋_GB2312" w:cs="Times New Roman"/>
          <w:bCs/>
          <w:sz w:val="32"/>
          <w:szCs w:val="32"/>
          <w:lang w:eastAsia="zh-CN"/>
        </w:rPr>
        <w:t>”</w:t>
      </w:r>
      <w:r>
        <w:rPr>
          <w:rFonts w:ascii="Times New Roman" w:hAnsi="Times New Roman" w:eastAsia="仿宋_GB2312" w:cs="Times New Roman"/>
          <w:bCs/>
          <w:sz w:val="32"/>
          <w:szCs w:val="32"/>
        </w:rPr>
        <w:t>基础上，通过总结试验结果、查阅相关文献资料和标准及</w:t>
      </w:r>
      <w:r>
        <w:rPr>
          <w:rFonts w:hint="eastAsia" w:ascii="Times New Roman" w:hAnsi="Times New Roman" w:eastAsia="仿宋_GB2312" w:cs="Times New Roman"/>
          <w:bCs/>
          <w:sz w:val="32"/>
          <w:szCs w:val="32"/>
        </w:rPr>
        <w:t>归纳</w:t>
      </w:r>
      <w:r>
        <w:rPr>
          <w:rFonts w:hint="eastAsia" w:ascii="Times New Roman" w:hAnsi="Times New Roman" w:eastAsia="仿宋_GB2312" w:cs="Times New Roman"/>
          <w:bCs/>
          <w:sz w:val="32"/>
          <w:szCs w:val="32"/>
          <w:lang w:val="en-US" w:eastAsia="zh-CN"/>
        </w:rPr>
        <w:t>基层</w:t>
      </w:r>
      <w:r>
        <w:rPr>
          <w:rFonts w:ascii="Times New Roman" w:hAnsi="Times New Roman" w:eastAsia="仿宋_GB2312" w:cs="Times New Roman"/>
          <w:bCs/>
          <w:sz w:val="32"/>
          <w:szCs w:val="32"/>
        </w:rPr>
        <w:t>实践经验的基础上</w:t>
      </w:r>
      <w:r>
        <w:rPr>
          <w:rFonts w:hint="eastAsia" w:ascii="Times New Roman" w:hAnsi="Times New Roman" w:eastAsia="仿宋_GB2312" w:cs="Times New Roman"/>
          <w:bCs/>
          <w:sz w:val="32"/>
          <w:szCs w:val="32"/>
        </w:rPr>
        <w:t>撰写</w:t>
      </w:r>
      <w:r>
        <w:rPr>
          <w:rFonts w:ascii="Times New Roman" w:hAnsi="Times New Roman" w:eastAsia="仿宋_GB2312" w:cs="Times New Roman"/>
          <w:bCs/>
          <w:sz w:val="32"/>
          <w:szCs w:val="32"/>
        </w:rPr>
        <w:t>而成。</w:t>
      </w:r>
    </w:p>
    <w:p w14:paraId="7D23910F">
      <w:pPr>
        <w:spacing w:after="0" w:line="360" w:lineRule="auto"/>
        <w:ind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1.</w:t>
      </w:r>
      <w:r>
        <w:rPr>
          <w:rFonts w:ascii="Times New Roman" w:hAnsi="Times New Roman" w:eastAsia="仿宋_GB2312" w:cs="Times New Roman"/>
          <w:bCs/>
          <w:sz w:val="32"/>
          <w:szCs w:val="32"/>
        </w:rPr>
        <w:t xml:space="preserve"> </w:t>
      </w:r>
      <w:r>
        <w:rPr>
          <w:rFonts w:hint="eastAsia" w:ascii="Times New Roman" w:hAnsi="Times New Roman" w:eastAsia="仿宋_GB2312" w:cs="Times New Roman"/>
          <w:bCs/>
          <w:sz w:val="32"/>
          <w:szCs w:val="32"/>
        </w:rPr>
        <w:t>嫁接时间</w:t>
      </w:r>
    </w:p>
    <w:p w14:paraId="3AB3125E">
      <w:pPr>
        <w:spacing w:after="0" w:line="360" w:lineRule="auto"/>
        <w:ind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选取10月下旬、5月中下旬和6月下旬开展嫁接时间对嫁接成活率的影响。结果显示，嫁接时间对嫁接成活率的影响呈显著性差异，其中5月中下旬初嫁接成活率最高，达到91.35%，其次是6月下旬（60.67%），最后是10月下旬，仅为46.67%，说明嫁接最佳时间是5月中下旬，其次是10月下旬。</w:t>
      </w:r>
    </w:p>
    <w:p w14:paraId="323CF590">
      <w:pPr>
        <w:spacing w:after="0" w:line="360" w:lineRule="auto"/>
        <w:ind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2.</w:t>
      </w:r>
      <w:r>
        <w:rPr>
          <w:rFonts w:ascii="Times New Roman" w:hAnsi="Times New Roman" w:eastAsia="仿宋_GB2312" w:cs="Times New Roman"/>
          <w:bCs/>
          <w:sz w:val="32"/>
          <w:szCs w:val="32"/>
        </w:rPr>
        <w:t xml:space="preserve"> </w:t>
      </w:r>
      <w:r>
        <w:rPr>
          <w:rFonts w:hint="eastAsia" w:ascii="Times New Roman" w:hAnsi="Times New Roman" w:eastAsia="仿宋_GB2312" w:cs="Times New Roman"/>
          <w:bCs/>
          <w:sz w:val="32"/>
          <w:szCs w:val="32"/>
        </w:rPr>
        <w:t>嫁接方式</w:t>
      </w:r>
    </w:p>
    <w:p w14:paraId="1F4A5078">
      <w:pPr>
        <w:spacing w:after="0" w:line="360" w:lineRule="auto"/>
        <w:ind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嫁接采用接穗全包、接穗外露1cm和接穗外露2cm开展试验，结果表明3种嫁接方式呈显著性差异，接穗全包嫁接成活率最高，为95.67%，接穗外露1cm时，嫁接成活率为80.33%，而接穗外露2cm时嫁接成活率最低，仅为46.67%，说明接穗外露越长，嫁接成活率越低，故嫁接时接穗全包方式最佳。</w:t>
      </w:r>
    </w:p>
    <w:p w14:paraId="348BA21A">
      <w:pPr>
        <w:spacing w:after="0" w:line="360" w:lineRule="auto"/>
        <w:ind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3.</w:t>
      </w:r>
      <w:r>
        <w:rPr>
          <w:rFonts w:ascii="Times New Roman" w:hAnsi="Times New Roman" w:eastAsia="仿宋_GB2312" w:cs="Times New Roman"/>
          <w:bCs/>
          <w:sz w:val="32"/>
          <w:szCs w:val="32"/>
        </w:rPr>
        <w:t xml:space="preserve"> </w:t>
      </w:r>
      <w:r>
        <w:rPr>
          <w:rFonts w:hint="eastAsia" w:ascii="Times New Roman" w:hAnsi="Times New Roman" w:eastAsia="仿宋_GB2312" w:cs="Times New Roman"/>
          <w:bCs/>
          <w:sz w:val="32"/>
          <w:szCs w:val="32"/>
        </w:rPr>
        <w:t>砧木底盘枝保留方式</w:t>
      </w:r>
    </w:p>
    <w:p w14:paraId="73CF583D">
      <w:pPr>
        <w:spacing w:after="0" w:line="360" w:lineRule="auto"/>
        <w:ind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采用嫁接口下方留一轮底盘枝和不留底盘枝2种方式开展嫁接，统计嫁接成活率。结果表明，嫁接口下方留一轮底盘枝嫁接成活率较高，为92.00%，而不留底盘枝时嫁接成活率则较低，为55.00%，故嫁接时砧木要留一轮底盘枝以提高嫁接成活率。</w:t>
      </w:r>
    </w:p>
    <w:p w14:paraId="219DF913">
      <w:pPr>
        <w:spacing w:after="0" w:line="360" w:lineRule="auto"/>
        <w:ind w:firstLine="640" w:firstLineChars="200"/>
        <w:rPr>
          <w:rFonts w:hint="default" w:ascii="Times New Roman" w:hAnsi="Times New Roman" w:eastAsia="仿宋_GB2312" w:cs="Times New Roman"/>
          <w:bCs/>
          <w:sz w:val="32"/>
          <w:szCs w:val="32"/>
          <w:lang w:val="en-US" w:eastAsia="zh-CN"/>
        </w:rPr>
      </w:pPr>
      <w:r>
        <w:rPr>
          <w:rFonts w:hint="eastAsia" w:ascii="Times New Roman" w:hAnsi="Times New Roman" w:eastAsia="仿宋_GB2312" w:cs="Times New Roman"/>
          <w:bCs/>
          <w:sz w:val="32"/>
          <w:szCs w:val="32"/>
        </w:rPr>
        <w:t>4.</w:t>
      </w:r>
      <w:r>
        <w:rPr>
          <w:rFonts w:ascii="Times New Roman" w:hAnsi="Times New Roman" w:eastAsia="仿宋_GB2312" w:cs="Times New Roman"/>
          <w:bCs/>
          <w:sz w:val="32"/>
          <w:szCs w:val="32"/>
        </w:rPr>
        <w:t xml:space="preserve"> </w:t>
      </w:r>
      <w:r>
        <w:rPr>
          <w:rFonts w:hint="eastAsia" w:ascii="Times New Roman" w:hAnsi="Times New Roman" w:eastAsia="仿宋_GB2312" w:cs="Times New Roman"/>
          <w:bCs/>
          <w:sz w:val="32"/>
          <w:szCs w:val="32"/>
        </w:rPr>
        <w:t>火炬松不同无性系</w:t>
      </w:r>
      <w:r>
        <w:rPr>
          <w:rFonts w:hint="eastAsia" w:ascii="Times New Roman" w:hAnsi="Times New Roman" w:eastAsia="仿宋_GB2312" w:cs="Times New Roman"/>
          <w:bCs/>
          <w:sz w:val="32"/>
          <w:szCs w:val="32"/>
          <w:lang w:val="en-US" w:eastAsia="zh-CN"/>
        </w:rPr>
        <w:t>对嫁接影响</w:t>
      </w:r>
    </w:p>
    <w:p w14:paraId="218F98EE">
      <w:pPr>
        <w:spacing w:after="0" w:line="360" w:lineRule="auto"/>
        <w:ind w:firstLine="640" w:firstLineChars="200"/>
        <w:rPr>
          <w:rFonts w:ascii="Times New Roman" w:hAnsi="Times New Roman" w:eastAsia="仿宋_GB2312" w:cs="Times New Roman"/>
          <w:bCs/>
          <w:sz w:val="32"/>
          <w:szCs w:val="32"/>
        </w:rPr>
      </w:pPr>
      <w:r>
        <w:rPr>
          <w:rFonts w:hint="eastAsia" w:ascii="Times New Roman" w:hAnsi="Times New Roman" w:eastAsia="仿宋_GB2312" w:cs="Times New Roman"/>
          <w:bCs/>
          <w:sz w:val="32"/>
          <w:szCs w:val="32"/>
        </w:rPr>
        <w:t>统计59个火炬松无性系穗条嫁接成活率试验结果，显示59个无性系平均嫁接成活率达到90.90%，火炬松不同无性系嫁接成活率存在显著差异，最高的可达100%，成活率低的仅为45.50%。</w:t>
      </w:r>
    </w:p>
    <w:p w14:paraId="180D0630">
      <w:pPr>
        <w:spacing w:after="80" w:line="360" w:lineRule="auto"/>
        <w:ind w:firstLine="640" w:firstLineChars="200"/>
        <w:rPr>
          <w:rFonts w:ascii="Times New Roman" w:hAnsi="Times New Roman" w:eastAsia="仿宋_GB2312" w:cs="Times New Roman"/>
          <w:bCs/>
          <w:sz w:val="32"/>
          <w:szCs w:val="32"/>
        </w:rPr>
      </w:pPr>
      <w:r>
        <w:rPr>
          <w:rFonts w:hint="eastAsia" w:ascii="Times New Roman" w:hAnsi="Times New Roman" w:eastAsia="仿宋_GB2312" w:cs="Times New Roman"/>
          <w:bCs/>
          <w:sz w:val="32"/>
          <w:szCs w:val="32"/>
          <w:lang w:val="en-US" w:eastAsia="zh-CN"/>
        </w:rPr>
        <w:t>5</w:t>
      </w:r>
      <w:r>
        <w:rPr>
          <w:rFonts w:ascii="Times New Roman" w:hAnsi="Times New Roman" w:eastAsia="仿宋_GB2312" w:cs="Times New Roman"/>
          <w:bCs/>
          <w:sz w:val="32"/>
          <w:szCs w:val="32"/>
        </w:rPr>
        <w:t xml:space="preserve">. </w:t>
      </w:r>
      <w:r>
        <w:rPr>
          <w:rFonts w:hint="eastAsia" w:ascii="Times New Roman" w:hAnsi="Times New Roman" w:eastAsia="仿宋_GB2312" w:cs="Times New Roman"/>
          <w:bCs/>
          <w:sz w:val="32"/>
          <w:szCs w:val="32"/>
        </w:rPr>
        <w:t>不同家系</w:t>
      </w:r>
      <w:bookmarkStart w:id="4" w:name="OLE_LINK7"/>
      <w:r>
        <w:rPr>
          <w:rFonts w:hint="eastAsia" w:ascii="Times New Roman" w:hAnsi="Times New Roman" w:eastAsia="仿宋_GB2312" w:cs="Times New Roman"/>
          <w:bCs/>
          <w:sz w:val="32"/>
          <w:szCs w:val="32"/>
          <w:lang w:val="en-US" w:eastAsia="zh-CN"/>
        </w:rPr>
        <w:t>对扦插成活率影响</w:t>
      </w:r>
      <w:bookmarkEnd w:id="4"/>
    </w:p>
    <w:p w14:paraId="60EBA198">
      <w:pPr>
        <w:spacing w:after="80" w:line="360" w:lineRule="auto"/>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在相同扦插基质和后期管理下，</w:t>
      </w:r>
      <w:r>
        <w:rPr>
          <w:rFonts w:hint="eastAsia" w:ascii="Times New Roman" w:hAnsi="Times New Roman" w:eastAsia="仿宋_GB2312" w:cs="Times New Roman"/>
          <w:bCs/>
          <w:sz w:val="32"/>
          <w:szCs w:val="32"/>
        </w:rPr>
        <w:t>6个</w:t>
      </w:r>
      <w:r>
        <w:rPr>
          <w:rFonts w:ascii="Times New Roman" w:hAnsi="Times New Roman" w:eastAsia="仿宋_GB2312" w:cs="Times New Roman"/>
          <w:bCs/>
          <w:sz w:val="32"/>
          <w:szCs w:val="32"/>
        </w:rPr>
        <w:t>不同家系之间的扦插成活率、主根数量、长度及须根情况等均存在差异，</w:t>
      </w:r>
      <w:r>
        <w:rPr>
          <w:rFonts w:hint="eastAsia" w:ascii="Times New Roman" w:hAnsi="Times New Roman" w:eastAsia="仿宋_GB2312" w:cs="Times New Roman"/>
          <w:bCs/>
          <w:sz w:val="32"/>
          <w:szCs w:val="32"/>
        </w:rPr>
        <w:t>其中武林22扦插成活率最高，为90.38%，其次是湖南39，为64.00%，扦插成活率最低的为荣山63</w:t>
      </w:r>
      <w:r>
        <w:rPr>
          <w:rFonts w:ascii="Times New Roman" w:hAnsi="Times New Roman" w:eastAsia="仿宋_GB2312" w:cs="Times New Roman"/>
          <w:bCs/>
          <w:sz w:val="32"/>
          <w:szCs w:val="32"/>
        </w:rPr>
        <w:t xml:space="preserve"> </w:t>
      </w:r>
      <w:r>
        <w:rPr>
          <w:rFonts w:hint="eastAsia" w:ascii="Times New Roman" w:hAnsi="Times New Roman" w:eastAsia="仿宋_GB2312" w:cs="Times New Roman"/>
          <w:bCs/>
          <w:sz w:val="32"/>
          <w:szCs w:val="32"/>
        </w:rPr>
        <w:t>，仅为28.00%</w:t>
      </w:r>
      <w:r>
        <w:rPr>
          <w:rFonts w:ascii="Times New Roman" w:hAnsi="Times New Roman" w:eastAsia="仿宋_GB2312" w:cs="Times New Roman"/>
          <w:bCs/>
          <w:sz w:val="32"/>
          <w:szCs w:val="32"/>
        </w:rPr>
        <w:t>。</w:t>
      </w:r>
      <w:r>
        <w:rPr>
          <w:rFonts w:hint="eastAsia" w:ascii="Times New Roman" w:hAnsi="Times New Roman" w:eastAsia="仿宋_GB2312" w:cs="Times New Roman"/>
          <w:bCs/>
          <w:sz w:val="32"/>
          <w:szCs w:val="32"/>
        </w:rPr>
        <w:t>此外，不同家系之间生根数量差异不显著，根长呈显著差异。</w:t>
      </w:r>
    </w:p>
    <w:p w14:paraId="769BF26F">
      <w:pPr>
        <w:spacing w:after="80" w:line="360" w:lineRule="auto"/>
        <w:ind w:firstLine="640" w:firstLineChars="200"/>
        <w:rPr>
          <w:rFonts w:ascii="Times New Roman" w:hAnsi="Times New Roman" w:eastAsia="仿宋_GB2312" w:cs="Times New Roman"/>
          <w:bCs/>
          <w:sz w:val="32"/>
          <w:szCs w:val="32"/>
        </w:rPr>
      </w:pPr>
      <w:r>
        <w:rPr>
          <w:rFonts w:hint="eastAsia" w:ascii="Times New Roman" w:hAnsi="Times New Roman" w:eastAsia="仿宋_GB2312" w:cs="Times New Roman"/>
          <w:bCs/>
          <w:sz w:val="32"/>
          <w:szCs w:val="32"/>
          <w:lang w:val="en-US" w:eastAsia="zh-CN"/>
        </w:rPr>
        <w:t>6</w:t>
      </w:r>
      <w:r>
        <w:rPr>
          <w:rFonts w:ascii="Times New Roman" w:hAnsi="Times New Roman" w:eastAsia="仿宋_GB2312" w:cs="Times New Roman"/>
          <w:bCs/>
          <w:sz w:val="32"/>
          <w:szCs w:val="32"/>
        </w:rPr>
        <w:t>.</w:t>
      </w:r>
      <w:bookmarkStart w:id="5" w:name="OLE_LINK8"/>
      <w:r>
        <w:rPr>
          <w:rFonts w:ascii="Times New Roman" w:hAnsi="Times New Roman" w:eastAsia="仿宋_GB2312" w:cs="Times New Roman"/>
          <w:bCs/>
          <w:sz w:val="32"/>
          <w:szCs w:val="32"/>
        </w:rPr>
        <w:t xml:space="preserve"> </w:t>
      </w:r>
      <w:bookmarkEnd w:id="5"/>
      <w:r>
        <w:rPr>
          <w:rFonts w:hint="eastAsia" w:ascii="Times New Roman" w:hAnsi="Times New Roman" w:eastAsia="仿宋_GB2312" w:cs="Times New Roman"/>
          <w:bCs/>
          <w:sz w:val="32"/>
          <w:szCs w:val="32"/>
        </w:rPr>
        <w:t>穗条木质化程度</w:t>
      </w:r>
      <w:r>
        <w:rPr>
          <w:rFonts w:hint="eastAsia" w:ascii="Times New Roman" w:hAnsi="Times New Roman" w:eastAsia="仿宋_GB2312" w:cs="Times New Roman"/>
          <w:bCs/>
          <w:sz w:val="32"/>
          <w:szCs w:val="32"/>
          <w:lang w:val="en-US" w:eastAsia="zh-CN"/>
        </w:rPr>
        <w:t>对扦插成活率影响</w:t>
      </w:r>
    </w:p>
    <w:p w14:paraId="3826F67E">
      <w:pPr>
        <w:spacing w:after="80" w:line="360" w:lineRule="auto"/>
        <w:ind w:firstLine="640" w:firstLineChars="200"/>
        <w:rPr>
          <w:rFonts w:ascii="Times New Roman" w:hAnsi="Times New Roman" w:eastAsia="仿宋_GB2312" w:cs="Times New Roman"/>
          <w:bCs/>
          <w:sz w:val="32"/>
          <w:szCs w:val="32"/>
        </w:rPr>
      </w:pPr>
      <w:r>
        <w:rPr>
          <w:rFonts w:hint="eastAsia" w:ascii="Times New Roman" w:hAnsi="Times New Roman" w:eastAsia="仿宋_GB2312" w:cs="Times New Roman"/>
          <w:bCs/>
          <w:sz w:val="32"/>
          <w:szCs w:val="32"/>
        </w:rPr>
        <w:t>开展四种木质化程度的穗条对扦插成活率的影响，结果表明，四个家系之间三种木质化穗条的扦插成活率均呈显著差异，且均以半木质化穗条的扦插成活率最高，扦插成活率最高为武林2号半木质化穗条，成活率达到76.0%，扦插成活率最低的为无木质化穗条，成活率仅为30%左右。</w:t>
      </w:r>
    </w:p>
    <w:p w14:paraId="47808CB0">
      <w:pPr>
        <w:spacing w:after="80" w:line="360" w:lineRule="auto"/>
        <w:ind w:firstLine="640" w:firstLineChars="200"/>
        <w:rPr>
          <w:rFonts w:ascii="Times New Roman" w:hAnsi="Times New Roman" w:eastAsia="仿宋_GB2312" w:cs="Times New Roman"/>
          <w:bCs/>
          <w:sz w:val="32"/>
          <w:szCs w:val="32"/>
        </w:rPr>
      </w:pPr>
      <w:r>
        <w:rPr>
          <w:rFonts w:hint="eastAsia" w:ascii="Times New Roman" w:hAnsi="Times New Roman" w:eastAsia="仿宋_GB2312" w:cs="Times New Roman"/>
          <w:bCs/>
          <w:sz w:val="32"/>
          <w:szCs w:val="32"/>
          <w:lang w:val="en-US" w:eastAsia="zh-CN"/>
        </w:rPr>
        <w:t>7</w:t>
      </w:r>
      <w:r>
        <w:rPr>
          <w:rFonts w:hint="eastAsia" w:ascii="Times New Roman" w:hAnsi="Times New Roman" w:eastAsia="仿宋_GB2312" w:cs="Times New Roman"/>
          <w:bCs/>
          <w:sz w:val="32"/>
          <w:szCs w:val="32"/>
        </w:rPr>
        <w:t>.</w:t>
      </w:r>
      <w:r>
        <w:rPr>
          <w:rFonts w:ascii="Times New Roman" w:hAnsi="Times New Roman" w:eastAsia="仿宋_GB2312" w:cs="Times New Roman"/>
          <w:bCs/>
          <w:sz w:val="32"/>
          <w:szCs w:val="32"/>
        </w:rPr>
        <w:t xml:space="preserve"> </w:t>
      </w:r>
      <w:r>
        <w:rPr>
          <w:rFonts w:hint="eastAsia" w:ascii="Times New Roman" w:hAnsi="Times New Roman" w:eastAsia="仿宋_GB2312" w:cs="Times New Roman"/>
          <w:bCs/>
          <w:sz w:val="32"/>
          <w:szCs w:val="32"/>
        </w:rPr>
        <w:t>生根剂处理方式</w:t>
      </w:r>
      <w:r>
        <w:rPr>
          <w:rFonts w:hint="eastAsia" w:ascii="Times New Roman" w:hAnsi="Times New Roman" w:eastAsia="仿宋_GB2312" w:cs="Times New Roman"/>
          <w:bCs/>
          <w:sz w:val="32"/>
          <w:szCs w:val="32"/>
          <w:lang w:val="en-US" w:eastAsia="zh-CN"/>
        </w:rPr>
        <w:t>对扦插成活率影响</w:t>
      </w:r>
    </w:p>
    <w:p w14:paraId="0AFF34A8">
      <w:pPr>
        <w:spacing w:after="80" w:line="360" w:lineRule="auto"/>
        <w:ind w:firstLine="640" w:firstLineChars="200"/>
        <w:rPr>
          <w:rFonts w:ascii="Times New Roman" w:hAnsi="Times New Roman" w:eastAsia="仿宋_GB2312" w:cs="Times New Roman"/>
          <w:bCs/>
          <w:sz w:val="32"/>
          <w:szCs w:val="32"/>
        </w:rPr>
      </w:pPr>
      <w:r>
        <w:rPr>
          <w:rFonts w:hint="eastAsia" w:ascii="Times New Roman" w:hAnsi="Times New Roman" w:eastAsia="仿宋_GB2312" w:cs="Times New Roman"/>
          <w:bCs/>
          <w:sz w:val="32"/>
          <w:szCs w:val="32"/>
        </w:rPr>
        <w:t>以武林</w:t>
      </w:r>
      <w:r>
        <w:rPr>
          <w:rFonts w:ascii="Times New Roman" w:hAnsi="Times New Roman" w:eastAsia="仿宋_GB2312" w:cs="Times New Roman"/>
          <w:bCs/>
          <w:sz w:val="32"/>
          <w:szCs w:val="32"/>
        </w:rPr>
        <w:t>2号穗条为材料，选择促进生根的植物激素NAA，采用浸泡和插后喷施两种方式处理穗条，以清水为对照</w:t>
      </w:r>
      <w:r>
        <w:rPr>
          <w:rFonts w:hint="eastAsia" w:ascii="Times New Roman" w:hAnsi="Times New Roman" w:eastAsia="仿宋_GB2312" w:cs="Times New Roman"/>
          <w:bCs/>
          <w:sz w:val="32"/>
          <w:szCs w:val="32"/>
        </w:rPr>
        <w:t>。结果表明，生根剂处理方式之间的扦插成活率呈显著差异，两种</w:t>
      </w:r>
      <w:r>
        <w:rPr>
          <w:rFonts w:ascii="Times New Roman" w:hAnsi="Times New Roman" w:eastAsia="仿宋_GB2312" w:cs="Times New Roman"/>
          <w:bCs/>
          <w:sz w:val="32"/>
          <w:szCs w:val="32"/>
        </w:rPr>
        <w:t>NAA处理方式中</w:t>
      </w:r>
      <w:r>
        <w:rPr>
          <w:rFonts w:hint="eastAsia" w:ascii="Times New Roman" w:hAnsi="Times New Roman" w:eastAsia="仿宋_GB2312" w:cs="Times New Roman"/>
          <w:bCs/>
          <w:sz w:val="32"/>
          <w:szCs w:val="32"/>
        </w:rPr>
        <w:t>的扦插成活率均高于对照，且</w:t>
      </w:r>
      <w:r>
        <w:rPr>
          <w:rFonts w:ascii="Times New Roman" w:hAnsi="Times New Roman" w:eastAsia="仿宋_GB2312" w:cs="Times New Roman"/>
          <w:bCs/>
          <w:sz w:val="32"/>
          <w:szCs w:val="32"/>
        </w:rPr>
        <w:t>以插后喷施的效果最好，生根率达到93.33%，其次是NAA浸泡，生根率为80.67%。</w:t>
      </w:r>
    </w:p>
    <w:p w14:paraId="4DBBEC3A">
      <w:pPr>
        <w:spacing w:after="80" w:line="360" w:lineRule="auto"/>
        <w:ind w:firstLine="640" w:firstLineChars="200"/>
        <w:rPr>
          <w:rFonts w:ascii="Times New Roman" w:hAnsi="Times New Roman" w:eastAsia="宋体" w:cs="Times New Roman"/>
          <w:sz w:val="24"/>
          <w:szCs w:val="24"/>
        </w:rPr>
      </w:pPr>
      <w:r>
        <w:rPr>
          <w:rFonts w:hint="eastAsia" w:ascii="Times New Roman" w:hAnsi="Times New Roman" w:eastAsia="黑体" w:cs="Times New Roman"/>
          <w:bCs/>
          <w:sz w:val="32"/>
          <w:szCs w:val="32"/>
          <w:lang w:val="en-US" w:eastAsia="zh-CN"/>
        </w:rPr>
        <w:t>六</w:t>
      </w:r>
      <w:r>
        <w:rPr>
          <w:rFonts w:ascii="Times New Roman" w:hAnsi="Times New Roman" w:eastAsia="黑体" w:cs="Times New Roman"/>
          <w:bCs/>
          <w:sz w:val="32"/>
          <w:szCs w:val="32"/>
        </w:rPr>
        <w:t>、采用国际标准或国外先进标准的，说明采标程度，以及国内外同类标准水平的对比情况</w:t>
      </w:r>
    </w:p>
    <w:p w14:paraId="2CA276E5">
      <w:pPr>
        <w:spacing w:line="360" w:lineRule="auto"/>
        <w:ind w:firstLine="640" w:firstLineChars="200"/>
        <w:rPr>
          <w:rFonts w:hint="eastAsia" w:ascii="Times New Roman" w:hAnsi="Times New Roman" w:eastAsia="仿宋_GB2312" w:cs="Times New Roman"/>
          <w:bCs/>
          <w:sz w:val="32"/>
          <w:szCs w:val="32"/>
          <w:lang w:val="en-US" w:eastAsia="zh-CN"/>
        </w:rPr>
      </w:pPr>
      <w:r>
        <w:rPr>
          <w:rFonts w:ascii="Times New Roman" w:hAnsi="Times New Roman" w:eastAsia="仿宋_GB2312" w:cs="Times New Roman"/>
          <w:bCs/>
          <w:sz w:val="32"/>
          <w:szCs w:val="32"/>
        </w:rPr>
        <w:t>目前，</w:t>
      </w:r>
      <w:r>
        <w:rPr>
          <w:rFonts w:hint="eastAsia" w:ascii="Times New Roman" w:hAnsi="Times New Roman" w:eastAsia="仿宋_GB2312" w:cs="Times New Roman"/>
          <w:bCs/>
          <w:sz w:val="32"/>
          <w:szCs w:val="32"/>
          <w:lang w:val="en-US" w:eastAsia="zh-CN"/>
        </w:rPr>
        <w:t>关于火炬松繁育与培育的技术标准共有6个，包括行业标准2个和地方标准4个，仅见1个湿地松火炬松播种育苗技术规程，未见关于扦插和嫁接育苗技术规程，本标准明确了嫁接与扦插等无性繁殖的技术措施；与其他已颁布的火炬松培育技术规程相比，本标准的优势是重点介绍了针对速生丰产林和大径材培育的幼林和中林抚育，且除了2023年的行业标准外，其他标准均是省外地方标准，时间相对较早，江西省省内目前仍未见火炬松速生丰产林培育技术规程。</w:t>
      </w:r>
      <w:r>
        <w:rPr>
          <w:rFonts w:ascii="Times New Roman" w:hAnsi="Times New Roman" w:eastAsia="仿宋_GB2312" w:cs="Times New Roman"/>
          <w:bCs/>
          <w:sz w:val="32"/>
          <w:szCs w:val="32"/>
        </w:rPr>
        <w:t>本标准是在实施</w:t>
      </w:r>
      <w:r>
        <w:rPr>
          <w:rFonts w:ascii="Times New Roman" w:hAnsi="Times New Roman" w:eastAsia="仿宋_GB2312" w:cs="Times New Roman"/>
          <w:bCs/>
          <w:kern w:val="2"/>
          <w:sz w:val="32"/>
          <w:szCs w:val="32"/>
        </w:rPr>
        <w:t>完成</w:t>
      </w:r>
      <w:r>
        <w:rPr>
          <w:rFonts w:ascii="Times New Roman" w:hAnsi="Times New Roman" w:eastAsia="仿宋_GB2312" w:cs="Times New Roman"/>
          <w:bCs/>
          <w:sz w:val="32"/>
          <w:szCs w:val="32"/>
        </w:rPr>
        <w:t>省林业厅林业科技创新项目</w:t>
      </w:r>
      <w:r>
        <w:rPr>
          <w:rFonts w:hint="eastAsia" w:ascii="Times New Roman" w:hAnsi="Times New Roman" w:eastAsia="仿宋_GB2312" w:cs="Times New Roman"/>
          <w:bCs/>
          <w:sz w:val="32"/>
          <w:szCs w:val="32"/>
          <w:lang w:eastAsia="zh-CN"/>
        </w:rPr>
        <w:t>“</w:t>
      </w:r>
      <w:r>
        <w:rPr>
          <w:rFonts w:ascii="Times New Roman" w:hAnsi="Times New Roman" w:eastAsia="仿宋_GB2312" w:cs="Times New Roman"/>
          <w:bCs/>
          <w:sz w:val="32"/>
          <w:szCs w:val="32"/>
        </w:rPr>
        <w:t>国外松引种测定及体胚发生技术研究</w:t>
      </w:r>
      <w:r>
        <w:rPr>
          <w:rFonts w:hint="eastAsia" w:ascii="Times New Roman" w:hAnsi="Times New Roman" w:eastAsia="仿宋_GB2312" w:cs="Times New Roman"/>
          <w:bCs/>
          <w:sz w:val="32"/>
          <w:szCs w:val="32"/>
          <w:lang w:eastAsia="zh-CN"/>
        </w:rPr>
        <w:t>”</w:t>
      </w:r>
      <w:r>
        <w:rPr>
          <w:rFonts w:ascii="Times New Roman" w:hAnsi="Times New Roman" w:eastAsia="仿宋_GB2312" w:cs="Times New Roman"/>
          <w:bCs/>
          <w:sz w:val="32"/>
          <w:szCs w:val="32"/>
        </w:rPr>
        <w:t>和省财政专项项目</w:t>
      </w:r>
      <w:r>
        <w:rPr>
          <w:rFonts w:hint="eastAsia" w:ascii="Times New Roman" w:hAnsi="Times New Roman" w:eastAsia="仿宋_GB2312" w:cs="Times New Roman"/>
          <w:bCs/>
          <w:sz w:val="32"/>
          <w:szCs w:val="32"/>
          <w:lang w:eastAsia="zh-CN"/>
        </w:rPr>
        <w:t>“</w:t>
      </w:r>
      <w:r>
        <w:rPr>
          <w:rFonts w:ascii="Times New Roman" w:hAnsi="Times New Roman" w:eastAsia="仿宋_GB2312" w:cs="Times New Roman"/>
          <w:bCs/>
          <w:sz w:val="32"/>
          <w:szCs w:val="32"/>
        </w:rPr>
        <w:t>湿地松和火炬松采穗圃营建及扦插繁殖技术研</w:t>
      </w:r>
      <w:r>
        <w:rPr>
          <w:rFonts w:hint="eastAsia" w:ascii="Times New Roman" w:hAnsi="Times New Roman" w:eastAsia="仿宋_GB2312" w:cs="Times New Roman"/>
          <w:bCs/>
          <w:sz w:val="32"/>
          <w:szCs w:val="32"/>
          <w:lang w:eastAsia="zh-CN"/>
        </w:rPr>
        <w:t>”</w:t>
      </w:r>
      <w:r>
        <w:rPr>
          <w:rFonts w:ascii="Times New Roman" w:hAnsi="Times New Roman" w:eastAsia="仿宋_GB2312" w:cs="Times New Roman"/>
          <w:bCs/>
          <w:sz w:val="32"/>
          <w:szCs w:val="32"/>
        </w:rPr>
        <w:t>究</w:t>
      </w:r>
      <w:r>
        <w:rPr>
          <w:rFonts w:hint="eastAsia" w:ascii="Times New Roman" w:hAnsi="Times New Roman" w:eastAsia="仿宋_GB2312" w:cs="Times New Roman"/>
          <w:bCs/>
          <w:sz w:val="32"/>
          <w:szCs w:val="32"/>
          <w:lang w:val="en-US" w:eastAsia="zh-CN"/>
        </w:rPr>
        <w:t>等项目</w:t>
      </w:r>
      <w:r>
        <w:rPr>
          <w:rFonts w:ascii="Times New Roman" w:hAnsi="Times New Roman" w:eastAsia="仿宋_GB2312" w:cs="Times New Roman"/>
          <w:bCs/>
          <w:sz w:val="32"/>
          <w:szCs w:val="32"/>
        </w:rPr>
        <w:t>基础上，同时参考已有文献和请教有经验的基层林业科技人员与林农，总结</w:t>
      </w:r>
      <w:r>
        <w:rPr>
          <w:rFonts w:hint="eastAsia" w:ascii="Times New Roman" w:hAnsi="Times New Roman" w:eastAsia="仿宋_GB2312" w:cs="Times New Roman"/>
          <w:bCs/>
          <w:sz w:val="32"/>
          <w:szCs w:val="32"/>
          <w:lang w:val="en-US" w:eastAsia="zh-CN"/>
        </w:rPr>
        <w:t>了火炬松苗木培育与造林等方面的</w:t>
      </w:r>
      <w:r>
        <w:rPr>
          <w:rFonts w:ascii="Times New Roman" w:hAnsi="Times New Roman" w:eastAsia="仿宋_GB2312" w:cs="Times New Roman"/>
          <w:bCs/>
          <w:sz w:val="32"/>
          <w:szCs w:val="32"/>
        </w:rPr>
        <w:t>试验结果</w:t>
      </w:r>
      <w:r>
        <w:rPr>
          <w:rFonts w:hint="eastAsia" w:ascii="Times New Roman" w:hAnsi="Times New Roman" w:eastAsia="仿宋_GB2312" w:cs="Times New Roman"/>
          <w:bCs/>
          <w:sz w:val="32"/>
          <w:szCs w:val="32"/>
          <w:lang w:val="en-US" w:eastAsia="zh-CN"/>
        </w:rPr>
        <w:t>和技术经验</w:t>
      </w:r>
      <w:r>
        <w:rPr>
          <w:rFonts w:ascii="Times New Roman" w:hAnsi="Times New Roman" w:eastAsia="仿宋_GB2312" w:cs="Times New Roman"/>
          <w:bCs/>
          <w:sz w:val="32"/>
          <w:szCs w:val="32"/>
        </w:rPr>
        <w:t>，解决了长期以来</w:t>
      </w:r>
      <w:r>
        <w:rPr>
          <w:rFonts w:hint="eastAsia" w:ascii="Times New Roman" w:hAnsi="Times New Roman" w:eastAsia="仿宋_GB2312" w:cs="Times New Roman"/>
          <w:bCs/>
          <w:sz w:val="32"/>
          <w:szCs w:val="32"/>
          <w:lang w:val="en-US" w:eastAsia="zh-CN"/>
        </w:rPr>
        <w:t>火炬松苗木质量参差不齐、火炬松林分粗放经营等问题</w:t>
      </w:r>
      <w:r>
        <w:rPr>
          <w:rFonts w:ascii="Times New Roman" w:hAnsi="Times New Roman" w:eastAsia="仿宋_GB2312" w:cs="Times New Roman"/>
          <w:bCs/>
          <w:sz w:val="32"/>
          <w:szCs w:val="32"/>
        </w:rPr>
        <w:t>，为火炬松</w:t>
      </w:r>
      <w:r>
        <w:rPr>
          <w:rFonts w:hint="eastAsia" w:ascii="Times New Roman" w:hAnsi="Times New Roman" w:eastAsia="仿宋_GB2312" w:cs="Times New Roman"/>
          <w:bCs/>
          <w:sz w:val="32"/>
          <w:szCs w:val="32"/>
          <w:lang w:val="en-US" w:eastAsia="zh-CN"/>
        </w:rPr>
        <w:t>高效培育提供技术参考。</w:t>
      </w:r>
    </w:p>
    <w:p w14:paraId="53C031DD">
      <w:pPr>
        <w:spacing w:after="120" w:line="360" w:lineRule="auto"/>
        <w:ind w:firstLine="640" w:firstLineChars="200"/>
        <w:rPr>
          <w:rFonts w:ascii="Times New Roman" w:hAnsi="Times New Roman" w:eastAsia="黑体" w:cs="Times New Roman"/>
          <w:bCs/>
          <w:sz w:val="32"/>
          <w:szCs w:val="32"/>
        </w:rPr>
      </w:pPr>
      <w:r>
        <w:rPr>
          <w:rFonts w:hint="eastAsia" w:ascii="Times New Roman" w:hAnsi="Times New Roman" w:eastAsia="黑体" w:cs="Times New Roman"/>
          <w:bCs/>
          <w:sz w:val="32"/>
          <w:szCs w:val="32"/>
          <w:lang w:val="en-US" w:eastAsia="zh-CN"/>
        </w:rPr>
        <w:t>七</w:t>
      </w:r>
      <w:r>
        <w:rPr>
          <w:rFonts w:hint="eastAsia" w:ascii="Times New Roman" w:hAnsi="Times New Roman" w:eastAsia="黑体" w:cs="Times New Roman"/>
          <w:bCs/>
          <w:sz w:val="32"/>
          <w:szCs w:val="32"/>
        </w:rPr>
        <w:t>．本标准实施的范围、条件等</w:t>
      </w:r>
    </w:p>
    <w:p w14:paraId="0F45C8A6">
      <w:pPr>
        <w:spacing w:after="156" w:afterLines="50" w:line="360" w:lineRule="auto"/>
        <w:ind w:firstLine="640" w:firstLineChars="200"/>
        <w:rPr>
          <w:rFonts w:ascii="Times New Roman" w:hAnsi="Times New Roman" w:eastAsia="楷体_GB2312" w:cs="Times New Roman"/>
          <w:bCs/>
          <w:sz w:val="32"/>
          <w:szCs w:val="32"/>
        </w:rPr>
      </w:pPr>
      <w:r>
        <w:rPr>
          <w:rFonts w:hint="eastAsia" w:ascii="Times New Roman" w:hAnsi="Times New Roman" w:eastAsia="楷体_GB2312" w:cs="Times New Roman"/>
          <w:bCs/>
          <w:sz w:val="32"/>
          <w:szCs w:val="32"/>
        </w:rPr>
        <w:t>（一）标准推广应用范围</w:t>
      </w:r>
    </w:p>
    <w:p w14:paraId="032F4839">
      <w:pPr>
        <w:spacing w:after="156" w:afterLines="50" w:line="360" w:lineRule="auto"/>
        <w:ind w:firstLine="640" w:firstLineChars="200"/>
        <w:rPr>
          <w:rFonts w:ascii="Times New Roman" w:hAnsi="Times New Roman" w:eastAsia="仿宋_GB2312" w:cs="Times New Roman"/>
          <w:bCs/>
          <w:sz w:val="32"/>
          <w:szCs w:val="32"/>
        </w:rPr>
      </w:pPr>
      <w:r>
        <w:rPr>
          <w:rFonts w:hint="eastAsia" w:ascii="Times New Roman" w:hAnsi="Times New Roman" w:eastAsia="仿宋_GB2312" w:cs="Times New Roman"/>
          <w:bCs/>
          <w:sz w:val="32"/>
          <w:szCs w:val="32"/>
        </w:rPr>
        <w:t>本标准可在全江西全省范围内推广应用。</w:t>
      </w:r>
    </w:p>
    <w:p w14:paraId="47F263DC">
      <w:pPr>
        <w:spacing w:after="156" w:afterLines="50" w:line="360" w:lineRule="auto"/>
        <w:ind w:firstLine="640" w:firstLineChars="200"/>
        <w:rPr>
          <w:rFonts w:ascii="Times New Roman" w:hAnsi="Times New Roman" w:eastAsia="楷体_GB2312" w:cs="Times New Roman"/>
          <w:bCs/>
          <w:sz w:val="32"/>
          <w:szCs w:val="32"/>
        </w:rPr>
      </w:pPr>
      <w:r>
        <w:rPr>
          <w:rFonts w:hint="eastAsia" w:ascii="Times New Roman" w:hAnsi="Times New Roman" w:eastAsia="楷体_GB2312" w:cs="Times New Roman"/>
          <w:bCs/>
          <w:sz w:val="32"/>
          <w:szCs w:val="32"/>
        </w:rPr>
        <w:t>（二）标准推广应用条件</w:t>
      </w:r>
    </w:p>
    <w:p w14:paraId="38EDCEC2">
      <w:pPr>
        <w:spacing w:after="156" w:afterLines="50" w:line="360" w:lineRule="auto"/>
        <w:ind w:firstLine="640" w:firstLineChars="200"/>
        <w:rPr>
          <w:rFonts w:ascii="Times New Roman" w:hAnsi="Times New Roman" w:eastAsia="仿宋_GB2312" w:cs="Times New Roman"/>
          <w:bCs/>
          <w:sz w:val="32"/>
          <w:szCs w:val="32"/>
        </w:rPr>
      </w:pPr>
      <w:r>
        <w:rPr>
          <w:rFonts w:hint="eastAsia" w:ascii="Times New Roman" w:hAnsi="Times New Roman" w:eastAsia="仿宋_GB2312" w:cs="Times New Roman"/>
          <w:bCs/>
          <w:sz w:val="32"/>
          <w:szCs w:val="32"/>
        </w:rPr>
        <w:t>建议本标准作为推荐性标准贯彻与实施，由江西省质量技术监督局发布，修订</w:t>
      </w:r>
      <w:r>
        <w:rPr>
          <w:rFonts w:ascii="Times New Roman" w:hAnsi="Times New Roman" w:eastAsia="仿宋_GB2312" w:cs="Times New Roman"/>
          <w:bCs/>
          <w:sz w:val="32"/>
          <w:szCs w:val="32"/>
        </w:rPr>
        <w:t>单位将组织全省范围内相关技术人员开展宣传、培训等工作，使其能应用于生产实践，以便更好地发挥其社会效益和经济效益</w:t>
      </w:r>
      <w:r>
        <w:rPr>
          <w:rFonts w:hint="eastAsia" w:ascii="Times New Roman" w:hAnsi="Times New Roman" w:eastAsia="仿宋_GB2312" w:cs="Times New Roman"/>
          <w:bCs/>
          <w:sz w:val="32"/>
          <w:szCs w:val="32"/>
        </w:rPr>
        <w:t>，助力乡村振兴。</w:t>
      </w:r>
    </w:p>
    <w:p w14:paraId="43A4EFBE">
      <w:pPr>
        <w:spacing w:after="156" w:afterLines="50" w:line="360" w:lineRule="auto"/>
        <w:ind w:firstLine="640" w:firstLineChars="200"/>
        <w:rPr>
          <w:rFonts w:ascii="Times New Roman" w:hAnsi="Times New Roman" w:eastAsia="黑体" w:cs="Times New Roman"/>
          <w:bCs/>
          <w:sz w:val="32"/>
          <w:szCs w:val="32"/>
        </w:rPr>
      </w:pPr>
      <w:r>
        <w:rPr>
          <w:rFonts w:hint="eastAsia" w:ascii="Times New Roman" w:hAnsi="Times New Roman" w:eastAsia="黑体" w:cs="Times New Roman"/>
          <w:bCs/>
          <w:sz w:val="32"/>
          <w:szCs w:val="32"/>
          <w:lang w:val="en-US" w:eastAsia="zh-CN"/>
        </w:rPr>
        <w:t>八</w:t>
      </w:r>
      <w:r>
        <w:rPr>
          <w:rFonts w:ascii="Times New Roman" w:hAnsi="Times New Roman" w:eastAsia="黑体" w:cs="Times New Roman"/>
          <w:bCs/>
          <w:sz w:val="32"/>
          <w:szCs w:val="32"/>
        </w:rPr>
        <w:t>、</w:t>
      </w:r>
      <w:r>
        <w:rPr>
          <w:rFonts w:hint="eastAsia" w:ascii="Times New Roman" w:hAnsi="Times New Roman" w:eastAsia="黑体" w:cs="Times New Roman"/>
          <w:bCs/>
          <w:sz w:val="32"/>
          <w:szCs w:val="32"/>
        </w:rPr>
        <w:t>其他应说明的事项</w:t>
      </w:r>
    </w:p>
    <w:p w14:paraId="43A4EFBF">
      <w:pPr>
        <w:spacing w:after="156" w:afterLines="50" w:line="360" w:lineRule="auto"/>
        <w:ind w:firstLine="640" w:firstLineChars="200"/>
        <w:rPr>
          <w:rFonts w:ascii="Times New Roman" w:hAnsi="Times New Roman" w:eastAsia="仿宋_GB2312" w:cs="Times New Roman"/>
          <w:bCs/>
          <w:sz w:val="32"/>
          <w:szCs w:val="32"/>
        </w:rPr>
      </w:pPr>
      <w:r>
        <w:rPr>
          <w:rFonts w:hint="eastAsia" w:ascii="Times New Roman" w:hAnsi="Times New Roman" w:eastAsia="仿宋_GB2312" w:cs="Times New Roman"/>
          <w:bCs/>
          <w:sz w:val="32"/>
          <w:szCs w:val="32"/>
        </w:rPr>
        <w:t>无</w:t>
      </w:r>
      <w:r>
        <w:rPr>
          <w:rFonts w:ascii="Times New Roman" w:hAnsi="Times New Roman" w:eastAsia="仿宋_GB2312" w:cs="Times New Roman"/>
          <w:bCs/>
          <w:sz w:val="32"/>
          <w:szCs w:val="32"/>
        </w:rPr>
        <w:t>。</w:t>
      </w:r>
    </w:p>
    <w:p w14:paraId="1377B41E">
      <w:pPr>
        <w:spacing w:line="360" w:lineRule="auto"/>
        <w:ind w:firstLine="640" w:firstLineChars="200"/>
        <w:rPr>
          <w:rFonts w:hint="eastAsia" w:ascii="Times New Roman" w:hAnsi="Times New Roman" w:eastAsia="仿宋_GB2312" w:cs="Times New Roman"/>
          <w:bCs/>
          <w:sz w:val="32"/>
          <w:szCs w:val="32"/>
          <w:lang w:val="en-US" w:eastAsia="zh-CN"/>
        </w:rPr>
      </w:pPr>
    </w:p>
    <w:p w14:paraId="1E74D312">
      <w:pPr>
        <w:spacing w:line="360" w:lineRule="auto"/>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江西省林业科学院</w:t>
      </w:r>
    </w:p>
    <w:p w14:paraId="43A4EFC1">
      <w:pPr>
        <w:spacing w:line="360" w:lineRule="auto"/>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《火炬松速生丰产用材林培育技术规程》</w:t>
      </w:r>
      <w:r>
        <w:rPr>
          <w:rFonts w:ascii="Times New Roman" w:hAnsi="Times New Roman" w:eastAsia="仿宋_GB2312" w:cs="Times New Roman"/>
          <w:sz w:val="32"/>
          <w:szCs w:val="32"/>
        </w:rPr>
        <w:t>标准</w:t>
      </w:r>
      <w:r>
        <w:rPr>
          <w:rFonts w:hint="eastAsia" w:ascii="Times New Roman" w:hAnsi="Times New Roman" w:eastAsia="仿宋_GB2312" w:cs="Times New Roman"/>
          <w:sz w:val="32"/>
          <w:szCs w:val="32"/>
        </w:rPr>
        <w:t>修订项目组</w:t>
      </w:r>
    </w:p>
    <w:p w14:paraId="43A4EFC2">
      <w:pPr>
        <w:spacing w:line="360" w:lineRule="auto"/>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08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29</w:t>
      </w:r>
    </w:p>
    <w:p w14:paraId="671B9E70">
      <w:pPr>
        <w:spacing w:line="360" w:lineRule="auto"/>
        <w:ind w:firstLine="3360" w:firstLineChars="14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w:t>
      </w:r>
      <w:bookmarkStart w:id="6" w:name="_GoBack"/>
      <w:bookmarkEnd w:id="6"/>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93C85">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1C744A">
                          <w:pPr>
                            <w:pStyle w:val="1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01C744A">
                    <w:pPr>
                      <w:pStyle w:val="1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4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5"/>
      <w:suff w:val="nothing"/>
      <w:lvlText w:val="%1.%2　"/>
      <w:lvlJc w:val="left"/>
      <w:pPr>
        <w:ind w:left="568"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NiZGQxZDgyMWIxMjNmNjI5ZDdkN2Y1NDFlOWEzMWEifQ=="/>
  </w:docVars>
  <w:rsids>
    <w:rsidRoot w:val="00172A27"/>
    <w:rsid w:val="00004C59"/>
    <w:rsid w:val="00031ED6"/>
    <w:rsid w:val="00033DA8"/>
    <w:rsid w:val="00054123"/>
    <w:rsid w:val="000565E6"/>
    <w:rsid w:val="000608D0"/>
    <w:rsid w:val="0006205A"/>
    <w:rsid w:val="00070BFE"/>
    <w:rsid w:val="000730D5"/>
    <w:rsid w:val="0007665B"/>
    <w:rsid w:val="00086D1C"/>
    <w:rsid w:val="00097522"/>
    <w:rsid w:val="000B6EC7"/>
    <w:rsid w:val="000C5540"/>
    <w:rsid w:val="000C6A51"/>
    <w:rsid w:val="000D73B4"/>
    <w:rsid w:val="000F2C52"/>
    <w:rsid w:val="00112282"/>
    <w:rsid w:val="00115515"/>
    <w:rsid w:val="001167BF"/>
    <w:rsid w:val="00125D6D"/>
    <w:rsid w:val="00140641"/>
    <w:rsid w:val="00144C9D"/>
    <w:rsid w:val="001467B6"/>
    <w:rsid w:val="001769B4"/>
    <w:rsid w:val="001966CF"/>
    <w:rsid w:val="001A1230"/>
    <w:rsid w:val="001A3D9F"/>
    <w:rsid w:val="001A5BDA"/>
    <w:rsid w:val="001B21FA"/>
    <w:rsid w:val="001C2F6A"/>
    <w:rsid w:val="002145A5"/>
    <w:rsid w:val="00220E55"/>
    <w:rsid w:val="00231722"/>
    <w:rsid w:val="00255CF6"/>
    <w:rsid w:val="00256D80"/>
    <w:rsid w:val="00264482"/>
    <w:rsid w:val="00284194"/>
    <w:rsid w:val="00294D93"/>
    <w:rsid w:val="00295BD7"/>
    <w:rsid w:val="002A6A0A"/>
    <w:rsid w:val="002A6C34"/>
    <w:rsid w:val="002B3B20"/>
    <w:rsid w:val="002B7921"/>
    <w:rsid w:val="002D2999"/>
    <w:rsid w:val="002E52A8"/>
    <w:rsid w:val="002E56DC"/>
    <w:rsid w:val="002E7102"/>
    <w:rsid w:val="00317F87"/>
    <w:rsid w:val="00332A0D"/>
    <w:rsid w:val="00335799"/>
    <w:rsid w:val="0033648F"/>
    <w:rsid w:val="003370CB"/>
    <w:rsid w:val="00343D78"/>
    <w:rsid w:val="00357DFD"/>
    <w:rsid w:val="00362738"/>
    <w:rsid w:val="00394056"/>
    <w:rsid w:val="003941BB"/>
    <w:rsid w:val="003D159F"/>
    <w:rsid w:val="003E7D9A"/>
    <w:rsid w:val="003F759E"/>
    <w:rsid w:val="00403B59"/>
    <w:rsid w:val="004057B8"/>
    <w:rsid w:val="0041159A"/>
    <w:rsid w:val="00411DA9"/>
    <w:rsid w:val="00447123"/>
    <w:rsid w:val="004528DE"/>
    <w:rsid w:val="0047044F"/>
    <w:rsid w:val="00480A38"/>
    <w:rsid w:val="004819D3"/>
    <w:rsid w:val="00484F11"/>
    <w:rsid w:val="00485B0F"/>
    <w:rsid w:val="004A51A0"/>
    <w:rsid w:val="004A6172"/>
    <w:rsid w:val="004E21BF"/>
    <w:rsid w:val="00502724"/>
    <w:rsid w:val="005251A5"/>
    <w:rsid w:val="005350BB"/>
    <w:rsid w:val="00540B80"/>
    <w:rsid w:val="00565B3B"/>
    <w:rsid w:val="00566AB1"/>
    <w:rsid w:val="005A56E1"/>
    <w:rsid w:val="005A784C"/>
    <w:rsid w:val="005A7FFB"/>
    <w:rsid w:val="005B5C08"/>
    <w:rsid w:val="005B721C"/>
    <w:rsid w:val="005B7D03"/>
    <w:rsid w:val="005D09C3"/>
    <w:rsid w:val="005D27F7"/>
    <w:rsid w:val="005D584A"/>
    <w:rsid w:val="005D7F88"/>
    <w:rsid w:val="00600DB5"/>
    <w:rsid w:val="006133EA"/>
    <w:rsid w:val="00615E2E"/>
    <w:rsid w:val="00627C3B"/>
    <w:rsid w:val="0063018F"/>
    <w:rsid w:val="00634E6E"/>
    <w:rsid w:val="00640F8F"/>
    <w:rsid w:val="006415D7"/>
    <w:rsid w:val="0064216E"/>
    <w:rsid w:val="00650A35"/>
    <w:rsid w:val="00654F03"/>
    <w:rsid w:val="006907EE"/>
    <w:rsid w:val="0069591F"/>
    <w:rsid w:val="006A2C11"/>
    <w:rsid w:val="006B25BF"/>
    <w:rsid w:val="006C2936"/>
    <w:rsid w:val="006D25FB"/>
    <w:rsid w:val="006E4351"/>
    <w:rsid w:val="006E4CE6"/>
    <w:rsid w:val="006F5AEF"/>
    <w:rsid w:val="006F78AC"/>
    <w:rsid w:val="00716299"/>
    <w:rsid w:val="00720602"/>
    <w:rsid w:val="00726290"/>
    <w:rsid w:val="00773424"/>
    <w:rsid w:val="00776141"/>
    <w:rsid w:val="007974CB"/>
    <w:rsid w:val="007A3A35"/>
    <w:rsid w:val="007B6DCC"/>
    <w:rsid w:val="007C109A"/>
    <w:rsid w:val="007E181B"/>
    <w:rsid w:val="007F1594"/>
    <w:rsid w:val="007F4E04"/>
    <w:rsid w:val="00807A10"/>
    <w:rsid w:val="00816243"/>
    <w:rsid w:val="00832F05"/>
    <w:rsid w:val="00840690"/>
    <w:rsid w:val="00847820"/>
    <w:rsid w:val="00851107"/>
    <w:rsid w:val="008A5DC9"/>
    <w:rsid w:val="008A66D9"/>
    <w:rsid w:val="008A6D6F"/>
    <w:rsid w:val="008B14B1"/>
    <w:rsid w:val="008C10E9"/>
    <w:rsid w:val="008C4ACF"/>
    <w:rsid w:val="008E474C"/>
    <w:rsid w:val="009042BC"/>
    <w:rsid w:val="00904AC2"/>
    <w:rsid w:val="009077F9"/>
    <w:rsid w:val="009122CD"/>
    <w:rsid w:val="009250B5"/>
    <w:rsid w:val="009307D3"/>
    <w:rsid w:val="009401A2"/>
    <w:rsid w:val="0095045B"/>
    <w:rsid w:val="00955DF4"/>
    <w:rsid w:val="00957C10"/>
    <w:rsid w:val="00960522"/>
    <w:rsid w:val="00965EE4"/>
    <w:rsid w:val="009669ED"/>
    <w:rsid w:val="00982688"/>
    <w:rsid w:val="009A60E8"/>
    <w:rsid w:val="009C4F5E"/>
    <w:rsid w:val="009C5905"/>
    <w:rsid w:val="009C6B8D"/>
    <w:rsid w:val="009E2BB3"/>
    <w:rsid w:val="009E3EE5"/>
    <w:rsid w:val="00A36615"/>
    <w:rsid w:val="00A52A0D"/>
    <w:rsid w:val="00A56B33"/>
    <w:rsid w:val="00A604DF"/>
    <w:rsid w:val="00A61532"/>
    <w:rsid w:val="00AB2A02"/>
    <w:rsid w:val="00AC0E54"/>
    <w:rsid w:val="00AC1483"/>
    <w:rsid w:val="00AC6716"/>
    <w:rsid w:val="00AC7731"/>
    <w:rsid w:val="00AD75D2"/>
    <w:rsid w:val="00AE29ED"/>
    <w:rsid w:val="00AE6E72"/>
    <w:rsid w:val="00AF0ED9"/>
    <w:rsid w:val="00AF1180"/>
    <w:rsid w:val="00B11B77"/>
    <w:rsid w:val="00B1299B"/>
    <w:rsid w:val="00B22350"/>
    <w:rsid w:val="00B41CCB"/>
    <w:rsid w:val="00B51A61"/>
    <w:rsid w:val="00B77FF3"/>
    <w:rsid w:val="00B95F31"/>
    <w:rsid w:val="00BA6F15"/>
    <w:rsid w:val="00BC2388"/>
    <w:rsid w:val="00BC2B5E"/>
    <w:rsid w:val="00BD2BA6"/>
    <w:rsid w:val="00BD4957"/>
    <w:rsid w:val="00BF209D"/>
    <w:rsid w:val="00BF229E"/>
    <w:rsid w:val="00C0052B"/>
    <w:rsid w:val="00C01B7A"/>
    <w:rsid w:val="00C128BD"/>
    <w:rsid w:val="00C22EB5"/>
    <w:rsid w:val="00C54A02"/>
    <w:rsid w:val="00C623CF"/>
    <w:rsid w:val="00C6384C"/>
    <w:rsid w:val="00C81B13"/>
    <w:rsid w:val="00C9399F"/>
    <w:rsid w:val="00CB2765"/>
    <w:rsid w:val="00CC2065"/>
    <w:rsid w:val="00CD1076"/>
    <w:rsid w:val="00CD34C4"/>
    <w:rsid w:val="00CD7061"/>
    <w:rsid w:val="00CE2065"/>
    <w:rsid w:val="00D02ACC"/>
    <w:rsid w:val="00D226B0"/>
    <w:rsid w:val="00D3228B"/>
    <w:rsid w:val="00D3727F"/>
    <w:rsid w:val="00D6149C"/>
    <w:rsid w:val="00D677E2"/>
    <w:rsid w:val="00D8368A"/>
    <w:rsid w:val="00DA27A9"/>
    <w:rsid w:val="00DA3003"/>
    <w:rsid w:val="00DA3588"/>
    <w:rsid w:val="00DC0679"/>
    <w:rsid w:val="00DC7A67"/>
    <w:rsid w:val="00DD2170"/>
    <w:rsid w:val="00DD3D11"/>
    <w:rsid w:val="00DE4CF0"/>
    <w:rsid w:val="00DF1DA8"/>
    <w:rsid w:val="00DF2E6C"/>
    <w:rsid w:val="00E317F4"/>
    <w:rsid w:val="00E44BF3"/>
    <w:rsid w:val="00E46F10"/>
    <w:rsid w:val="00E63FE0"/>
    <w:rsid w:val="00E65401"/>
    <w:rsid w:val="00E67A10"/>
    <w:rsid w:val="00E9239C"/>
    <w:rsid w:val="00EA37DC"/>
    <w:rsid w:val="00EC039E"/>
    <w:rsid w:val="00ED747D"/>
    <w:rsid w:val="00ED7974"/>
    <w:rsid w:val="00EF6691"/>
    <w:rsid w:val="00EF78D7"/>
    <w:rsid w:val="00F000BF"/>
    <w:rsid w:val="00F11EA0"/>
    <w:rsid w:val="00F1598D"/>
    <w:rsid w:val="00F338AB"/>
    <w:rsid w:val="00F4022A"/>
    <w:rsid w:val="00F60E01"/>
    <w:rsid w:val="00F82CA8"/>
    <w:rsid w:val="00F83301"/>
    <w:rsid w:val="00F84E15"/>
    <w:rsid w:val="00FA2A6D"/>
    <w:rsid w:val="00FA3DDA"/>
    <w:rsid w:val="00FA6A65"/>
    <w:rsid w:val="00FB303E"/>
    <w:rsid w:val="00FC33EB"/>
    <w:rsid w:val="00FE4891"/>
    <w:rsid w:val="053C25A5"/>
    <w:rsid w:val="05A577A2"/>
    <w:rsid w:val="07125F5D"/>
    <w:rsid w:val="0AB61CF0"/>
    <w:rsid w:val="0B1E30CF"/>
    <w:rsid w:val="0B984021"/>
    <w:rsid w:val="0C9F0E79"/>
    <w:rsid w:val="0D721429"/>
    <w:rsid w:val="0F5B1F34"/>
    <w:rsid w:val="106C351C"/>
    <w:rsid w:val="14CF46D9"/>
    <w:rsid w:val="1A1B4EBB"/>
    <w:rsid w:val="1ABA10FB"/>
    <w:rsid w:val="1C0A573C"/>
    <w:rsid w:val="1E1978CA"/>
    <w:rsid w:val="2266488A"/>
    <w:rsid w:val="22F0628E"/>
    <w:rsid w:val="259359E6"/>
    <w:rsid w:val="273963D5"/>
    <w:rsid w:val="29312A3A"/>
    <w:rsid w:val="2A8C1ED5"/>
    <w:rsid w:val="2B493DC7"/>
    <w:rsid w:val="309862FC"/>
    <w:rsid w:val="316031FC"/>
    <w:rsid w:val="327052AF"/>
    <w:rsid w:val="341B15C2"/>
    <w:rsid w:val="34287D6E"/>
    <w:rsid w:val="34A855A3"/>
    <w:rsid w:val="359131CB"/>
    <w:rsid w:val="35F066A4"/>
    <w:rsid w:val="38C3535C"/>
    <w:rsid w:val="38D53146"/>
    <w:rsid w:val="3A375C05"/>
    <w:rsid w:val="3BE44928"/>
    <w:rsid w:val="3E636A7A"/>
    <w:rsid w:val="409A7B97"/>
    <w:rsid w:val="42324E44"/>
    <w:rsid w:val="425A1BED"/>
    <w:rsid w:val="42B460BC"/>
    <w:rsid w:val="43926C15"/>
    <w:rsid w:val="44F062F9"/>
    <w:rsid w:val="45EC3A2B"/>
    <w:rsid w:val="460B25C7"/>
    <w:rsid w:val="471B7726"/>
    <w:rsid w:val="48F90956"/>
    <w:rsid w:val="4C0D6A79"/>
    <w:rsid w:val="536C5018"/>
    <w:rsid w:val="539652EA"/>
    <w:rsid w:val="559E7995"/>
    <w:rsid w:val="579871DB"/>
    <w:rsid w:val="58565140"/>
    <w:rsid w:val="5A833671"/>
    <w:rsid w:val="5BF35086"/>
    <w:rsid w:val="5C783EDC"/>
    <w:rsid w:val="5D94691B"/>
    <w:rsid w:val="5E452A72"/>
    <w:rsid w:val="61DA1FF9"/>
    <w:rsid w:val="62640238"/>
    <w:rsid w:val="653952DD"/>
    <w:rsid w:val="65982141"/>
    <w:rsid w:val="66703971"/>
    <w:rsid w:val="6E326C08"/>
    <w:rsid w:val="6EDE588D"/>
    <w:rsid w:val="6FDA4560"/>
    <w:rsid w:val="706A53CD"/>
    <w:rsid w:val="73F37B1F"/>
    <w:rsid w:val="759B07CC"/>
    <w:rsid w:val="76A44899"/>
    <w:rsid w:val="76A553AD"/>
    <w:rsid w:val="779241D4"/>
    <w:rsid w:val="78182CD9"/>
    <w:rsid w:val="7C0323A6"/>
    <w:rsid w:val="7E9F12E1"/>
    <w:rsid w:val="7EAB39ED"/>
    <w:rsid w:val="7F783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88" w:lineRule="auto"/>
    </w:pPr>
    <w:rPr>
      <w:rFonts w:asciiTheme="minorHAnsi" w:hAnsiTheme="minorHAnsi" w:eastAsiaTheme="minorEastAsia" w:cstheme="minorBidi"/>
      <w:sz w:val="21"/>
      <w:szCs w:val="21"/>
      <w:lang w:val="en-US" w:eastAsia="zh-CN" w:bidi="ar-SA"/>
    </w:rPr>
  </w:style>
  <w:style w:type="paragraph" w:styleId="2">
    <w:name w:val="heading 1"/>
    <w:basedOn w:val="1"/>
    <w:next w:val="1"/>
    <w:link w:val="22"/>
    <w:qFormat/>
    <w:uiPriority w:val="9"/>
    <w:pPr>
      <w:keepNext/>
      <w:keepLines/>
      <w:spacing w:before="360" w:after="40" w:line="240" w:lineRule="auto"/>
      <w:outlineLvl w:val="0"/>
    </w:pPr>
    <w:rPr>
      <w:rFonts w:asciiTheme="majorHAnsi" w:hAnsiTheme="majorHAnsi" w:eastAsiaTheme="majorEastAsia" w:cstheme="majorBidi"/>
      <w:color w:val="548235" w:themeColor="accent6" w:themeShade="BF"/>
      <w:sz w:val="40"/>
      <w:szCs w:val="40"/>
    </w:rPr>
  </w:style>
  <w:style w:type="paragraph" w:styleId="3">
    <w:name w:val="heading 2"/>
    <w:basedOn w:val="1"/>
    <w:next w:val="1"/>
    <w:link w:val="23"/>
    <w:semiHidden/>
    <w:unhideWhenUsed/>
    <w:qFormat/>
    <w:uiPriority w:val="9"/>
    <w:pPr>
      <w:keepNext/>
      <w:keepLines/>
      <w:spacing w:before="80" w:after="0" w:line="240" w:lineRule="auto"/>
      <w:outlineLvl w:val="1"/>
    </w:pPr>
    <w:rPr>
      <w:rFonts w:asciiTheme="majorHAnsi" w:hAnsiTheme="majorHAnsi" w:eastAsiaTheme="majorEastAsia" w:cstheme="majorBidi"/>
      <w:color w:val="548235" w:themeColor="accent6" w:themeShade="BF"/>
      <w:sz w:val="28"/>
      <w:szCs w:val="28"/>
    </w:rPr>
  </w:style>
  <w:style w:type="paragraph" w:styleId="4">
    <w:name w:val="heading 3"/>
    <w:basedOn w:val="1"/>
    <w:next w:val="1"/>
    <w:link w:val="24"/>
    <w:semiHidden/>
    <w:unhideWhenUsed/>
    <w:qFormat/>
    <w:uiPriority w:val="9"/>
    <w:pPr>
      <w:keepNext/>
      <w:keepLines/>
      <w:spacing w:before="80" w:after="0" w:line="240" w:lineRule="auto"/>
      <w:outlineLvl w:val="2"/>
    </w:pPr>
    <w:rPr>
      <w:rFonts w:asciiTheme="majorHAnsi" w:hAnsiTheme="majorHAnsi" w:eastAsiaTheme="majorEastAsia" w:cstheme="majorBidi"/>
      <w:color w:val="548235" w:themeColor="accent6" w:themeShade="BF"/>
      <w:sz w:val="24"/>
      <w:szCs w:val="24"/>
    </w:rPr>
  </w:style>
  <w:style w:type="paragraph" w:styleId="5">
    <w:name w:val="heading 4"/>
    <w:basedOn w:val="1"/>
    <w:next w:val="1"/>
    <w:link w:val="25"/>
    <w:semiHidden/>
    <w:unhideWhenUsed/>
    <w:qFormat/>
    <w:uiPriority w:val="9"/>
    <w:pPr>
      <w:keepNext/>
      <w:keepLines/>
      <w:spacing w:before="80" w:after="0"/>
      <w:outlineLvl w:val="3"/>
    </w:pPr>
    <w:rPr>
      <w:rFonts w:asciiTheme="majorHAnsi" w:hAnsiTheme="majorHAnsi" w:eastAsiaTheme="majorEastAsia" w:cstheme="majorBidi"/>
      <w:color w:val="70AD47" w:themeColor="accent6"/>
      <w:sz w:val="22"/>
      <w:szCs w:val="22"/>
      <w14:textFill>
        <w14:solidFill>
          <w14:schemeClr w14:val="accent6"/>
        </w14:solidFill>
      </w14:textFill>
    </w:rPr>
  </w:style>
  <w:style w:type="paragraph" w:styleId="6">
    <w:name w:val="heading 5"/>
    <w:basedOn w:val="1"/>
    <w:next w:val="1"/>
    <w:link w:val="26"/>
    <w:semiHidden/>
    <w:unhideWhenUsed/>
    <w:qFormat/>
    <w:uiPriority w:val="9"/>
    <w:pPr>
      <w:keepNext/>
      <w:keepLines/>
      <w:spacing w:before="40" w:after="0"/>
      <w:outlineLvl w:val="4"/>
    </w:pPr>
    <w:rPr>
      <w:rFonts w:asciiTheme="majorHAnsi" w:hAnsiTheme="majorHAnsi" w:eastAsiaTheme="majorEastAsia" w:cstheme="majorBidi"/>
      <w:i/>
      <w:iCs/>
      <w:color w:val="70AD47" w:themeColor="accent6"/>
      <w:sz w:val="22"/>
      <w:szCs w:val="22"/>
      <w14:textFill>
        <w14:solidFill>
          <w14:schemeClr w14:val="accent6"/>
        </w14:solidFill>
      </w14:textFill>
    </w:rPr>
  </w:style>
  <w:style w:type="paragraph" w:styleId="7">
    <w:name w:val="heading 6"/>
    <w:basedOn w:val="1"/>
    <w:next w:val="1"/>
    <w:link w:val="27"/>
    <w:semiHidden/>
    <w:unhideWhenUsed/>
    <w:qFormat/>
    <w:uiPriority w:val="9"/>
    <w:pPr>
      <w:keepNext/>
      <w:keepLines/>
      <w:spacing w:before="40" w:after="0"/>
      <w:outlineLvl w:val="5"/>
    </w:pPr>
    <w:rPr>
      <w:rFonts w:asciiTheme="majorHAnsi" w:hAnsiTheme="majorHAnsi" w:eastAsiaTheme="majorEastAsia" w:cstheme="majorBidi"/>
      <w:color w:val="70AD47" w:themeColor="accent6"/>
      <w14:textFill>
        <w14:solidFill>
          <w14:schemeClr w14:val="accent6"/>
        </w14:solidFill>
      </w14:textFill>
    </w:rPr>
  </w:style>
  <w:style w:type="paragraph" w:styleId="8">
    <w:name w:val="heading 7"/>
    <w:basedOn w:val="1"/>
    <w:next w:val="1"/>
    <w:link w:val="28"/>
    <w:semiHidden/>
    <w:unhideWhenUsed/>
    <w:qFormat/>
    <w:uiPriority w:val="9"/>
    <w:pPr>
      <w:keepNext/>
      <w:keepLines/>
      <w:spacing w:before="40" w:after="0"/>
      <w:outlineLvl w:val="6"/>
    </w:pPr>
    <w:rPr>
      <w:rFonts w:asciiTheme="majorHAnsi" w:hAnsiTheme="majorHAnsi" w:eastAsiaTheme="majorEastAsia" w:cstheme="majorBidi"/>
      <w:b/>
      <w:bCs/>
      <w:color w:val="70AD47" w:themeColor="accent6"/>
      <w14:textFill>
        <w14:solidFill>
          <w14:schemeClr w14:val="accent6"/>
        </w14:solidFill>
      </w14:textFill>
    </w:rPr>
  </w:style>
  <w:style w:type="paragraph" w:styleId="9">
    <w:name w:val="heading 8"/>
    <w:basedOn w:val="1"/>
    <w:next w:val="1"/>
    <w:link w:val="29"/>
    <w:semiHidden/>
    <w:unhideWhenUsed/>
    <w:qFormat/>
    <w:uiPriority w:val="9"/>
    <w:pPr>
      <w:keepNext/>
      <w:keepLines/>
      <w:spacing w:before="40" w:after="0"/>
      <w:outlineLvl w:val="7"/>
    </w:pPr>
    <w:rPr>
      <w:rFonts w:asciiTheme="majorHAnsi" w:hAnsiTheme="majorHAnsi" w:eastAsiaTheme="majorEastAsia" w:cstheme="majorBidi"/>
      <w:b/>
      <w:bCs/>
      <w:i/>
      <w:iCs/>
      <w:color w:val="70AD47" w:themeColor="accent6"/>
      <w:sz w:val="20"/>
      <w:szCs w:val="20"/>
      <w14:textFill>
        <w14:solidFill>
          <w14:schemeClr w14:val="accent6"/>
        </w14:solidFill>
      </w14:textFill>
    </w:rPr>
  </w:style>
  <w:style w:type="paragraph" w:styleId="10">
    <w:name w:val="heading 9"/>
    <w:basedOn w:val="1"/>
    <w:next w:val="1"/>
    <w:link w:val="30"/>
    <w:semiHidden/>
    <w:unhideWhenUsed/>
    <w:qFormat/>
    <w:uiPriority w:val="9"/>
    <w:pPr>
      <w:keepNext/>
      <w:keepLines/>
      <w:spacing w:before="40" w:after="0"/>
      <w:outlineLvl w:val="8"/>
    </w:pPr>
    <w:rPr>
      <w:rFonts w:asciiTheme="majorHAnsi" w:hAnsiTheme="majorHAnsi" w:eastAsiaTheme="majorEastAsia" w:cstheme="majorBidi"/>
      <w:i/>
      <w:iCs/>
      <w:color w:val="70AD47" w:themeColor="accent6"/>
      <w:sz w:val="20"/>
      <w:szCs w:val="20"/>
      <w14:textFill>
        <w14:solidFill>
          <w14:schemeClr w14:val="accent6"/>
        </w14:solidFill>
      </w14:textFill>
    </w:rPr>
  </w:style>
  <w:style w:type="character" w:default="1" w:styleId="17">
    <w:name w:val="Default Paragraph Font"/>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autoRedefine/>
    <w:semiHidden/>
    <w:unhideWhenUsed/>
    <w:qFormat/>
    <w:uiPriority w:val="35"/>
    <w:pPr>
      <w:spacing w:line="240" w:lineRule="auto"/>
    </w:pPr>
    <w:rPr>
      <w:b/>
      <w:bCs/>
      <w:smallCaps/>
      <w:color w:val="595959" w:themeColor="text1" w:themeTint="A6"/>
      <w14:textFill>
        <w14:solidFill>
          <w14:schemeClr w14:val="tx1">
            <w14:lumMod w14:val="65000"/>
            <w14:lumOff w14:val="35000"/>
          </w14:schemeClr>
        </w14:solidFill>
      </w14:textFill>
    </w:rPr>
  </w:style>
  <w:style w:type="paragraph" w:styleId="12">
    <w:name w:val="footer"/>
    <w:basedOn w:val="1"/>
    <w:unhideWhenUsed/>
    <w:qFormat/>
    <w:uiPriority w:val="99"/>
    <w:pPr>
      <w:tabs>
        <w:tab w:val="center" w:pos="4153"/>
        <w:tab w:val="right" w:pos="8306"/>
      </w:tabs>
      <w:snapToGrid w:val="0"/>
    </w:pPr>
    <w:rPr>
      <w:sz w:val="18"/>
    </w:rPr>
  </w:style>
  <w:style w:type="paragraph" w:styleId="13">
    <w:name w:val="header"/>
    <w:basedOn w:val="1"/>
    <w:autoRedefine/>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pPr>
    <w:rPr>
      <w:sz w:val="18"/>
    </w:rPr>
  </w:style>
  <w:style w:type="paragraph" w:styleId="14">
    <w:name w:val="Subtitle"/>
    <w:basedOn w:val="1"/>
    <w:next w:val="1"/>
    <w:link w:val="32"/>
    <w:autoRedefine/>
    <w:qFormat/>
    <w:uiPriority w:val="11"/>
    <w:pPr>
      <w:spacing w:line="240" w:lineRule="auto"/>
    </w:pPr>
    <w:rPr>
      <w:rFonts w:asciiTheme="majorHAnsi" w:hAnsiTheme="majorHAnsi" w:eastAsiaTheme="majorEastAsia" w:cstheme="majorBidi"/>
      <w:sz w:val="30"/>
      <w:szCs w:val="30"/>
    </w:rPr>
  </w:style>
  <w:style w:type="paragraph" w:styleId="15">
    <w:name w:val="Title"/>
    <w:basedOn w:val="1"/>
    <w:next w:val="1"/>
    <w:link w:val="31"/>
    <w:autoRedefine/>
    <w:qFormat/>
    <w:uiPriority w:val="10"/>
    <w:pPr>
      <w:spacing w:after="0" w:line="240" w:lineRule="auto"/>
      <w:contextualSpacing/>
    </w:pPr>
    <w:rPr>
      <w:rFonts w:asciiTheme="majorHAnsi" w:hAnsiTheme="majorHAnsi" w:eastAsiaTheme="majorEastAsia" w:cstheme="majorBidi"/>
      <w:color w:val="262626" w:themeColor="text1" w:themeTint="D9"/>
      <w:spacing w:val="-15"/>
      <w:sz w:val="96"/>
      <w:szCs w:val="96"/>
      <w14:textFill>
        <w14:solidFill>
          <w14:schemeClr w14:val="tx1">
            <w14:lumMod w14:val="85000"/>
            <w14:lumOff w14:val="15000"/>
          </w14:schemeClr>
        </w14:solidFill>
      </w14:textFill>
    </w:rPr>
  </w:style>
  <w:style w:type="character" w:styleId="18">
    <w:name w:val="Strong"/>
    <w:basedOn w:val="17"/>
    <w:qFormat/>
    <w:uiPriority w:val="22"/>
    <w:rPr>
      <w:b/>
      <w:bCs/>
    </w:rPr>
  </w:style>
  <w:style w:type="character" w:styleId="19">
    <w:name w:val="Emphasis"/>
    <w:basedOn w:val="17"/>
    <w:qFormat/>
    <w:uiPriority w:val="20"/>
    <w:rPr>
      <w:i/>
      <w:iCs/>
      <w:color w:val="70AD47" w:themeColor="accent6"/>
      <w14:textFill>
        <w14:solidFill>
          <w14:schemeClr w14:val="accent6"/>
        </w14:solidFill>
      </w14:textFill>
    </w:rPr>
  </w:style>
  <w:style w:type="character" w:styleId="20">
    <w:name w:val="Hyperlink"/>
    <w:basedOn w:val="17"/>
    <w:semiHidden/>
    <w:unhideWhenUsed/>
    <w:qFormat/>
    <w:uiPriority w:val="99"/>
    <w:rPr>
      <w:color w:val="0000FF"/>
      <w:u w:val="single"/>
    </w:rPr>
  </w:style>
  <w:style w:type="paragraph" w:styleId="21">
    <w:name w:val="List Paragraph"/>
    <w:basedOn w:val="1"/>
    <w:autoRedefine/>
    <w:qFormat/>
    <w:uiPriority w:val="34"/>
    <w:pPr>
      <w:ind w:firstLine="420" w:firstLineChars="200"/>
    </w:pPr>
  </w:style>
  <w:style w:type="character" w:customStyle="1" w:styleId="22">
    <w:name w:val="标题 1 字符"/>
    <w:basedOn w:val="17"/>
    <w:link w:val="2"/>
    <w:qFormat/>
    <w:uiPriority w:val="9"/>
    <w:rPr>
      <w:rFonts w:asciiTheme="majorHAnsi" w:hAnsiTheme="majorHAnsi" w:eastAsiaTheme="majorEastAsia" w:cstheme="majorBidi"/>
      <w:color w:val="548235" w:themeColor="accent6" w:themeShade="BF"/>
      <w:sz w:val="40"/>
      <w:szCs w:val="40"/>
    </w:rPr>
  </w:style>
  <w:style w:type="character" w:customStyle="1" w:styleId="23">
    <w:name w:val="标题 2 字符"/>
    <w:basedOn w:val="17"/>
    <w:link w:val="3"/>
    <w:autoRedefine/>
    <w:semiHidden/>
    <w:qFormat/>
    <w:uiPriority w:val="9"/>
    <w:rPr>
      <w:rFonts w:asciiTheme="majorHAnsi" w:hAnsiTheme="majorHAnsi" w:eastAsiaTheme="majorEastAsia" w:cstheme="majorBidi"/>
      <w:color w:val="548235" w:themeColor="accent6" w:themeShade="BF"/>
      <w:sz w:val="28"/>
      <w:szCs w:val="28"/>
    </w:rPr>
  </w:style>
  <w:style w:type="character" w:customStyle="1" w:styleId="24">
    <w:name w:val="标题 3 字符"/>
    <w:basedOn w:val="17"/>
    <w:link w:val="4"/>
    <w:semiHidden/>
    <w:qFormat/>
    <w:uiPriority w:val="9"/>
    <w:rPr>
      <w:rFonts w:asciiTheme="majorHAnsi" w:hAnsiTheme="majorHAnsi" w:eastAsiaTheme="majorEastAsia" w:cstheme="majorBidi"/>
      <w:color w:val="548235" w:themeColor="accent6" w:themeShade="BF"/>
      <w:sz w:val="24"/>
      <w:szCs w:val="24"/>
    </w:rPr>
  </w:style>
  <w:style w:type="character" w:customStyle="1" w:styleId="25">
    <w:name w:val="标题 4 字符"/>
    <w:basedOn w:val="17"/>
    <w:link w:val="5"/>
    <w:semiHidden/>
    <w:qFormat/>
    <w:uiPriority w:val="9"/>
    <w:rPr>
      <w:rFonts w:asciiTheme="majorHAnsi" w:hAnsiTheme="majorHAnsi" w:eastAsiaTheme="majorEastAsia" w:cstheme="majorBidi"/>
      <w:color w:val="70AD47" w:themeColor="accent6"/>
      <w:sz w:val="22"/>
      <w:szCs w:val="22"/>
      <w14:textFill>
        <w14:solidFill>
          <w14:schemeClr w14:val="accent6"/>
        </w14:solidFill>
      </w14:textFill>
    </w:rPr>
  </w:style>
  <w:style w:type="character" w:customStyle="1" w:styleId="26">
    <w:name w:val="标题 5 字符"/>
    <w:basedOn w:val="17"/>
    <w:link w:val="6"/>
    <w:autoRedefine/>
    <w:semiHidden/>
    <w:qFormat/>
    <w:uiPriority w:val="9"/>
    <w:rPr>
      <w:rFonts w:asciiTheme="majorHAnsi" w:hAnsiTheme="majorHAnsi" w:eastAsiaTheme="majorEastAsia" w:cstheme="majorBidi"/>
      <w:i/>
      <w:iCs/>
      <w:color w:val="70AD47" w:themeColor="accent6"/>
      <w:sz w:val="22"/>
      <w:szCs w:val="22"/>
      <w14:textFill>
        <w14:solidFill>
          <w14:schemeClr w14:val="accent6"/>
        </w14:solidFill>
      </w14:textFill>
    </w:rPr>
  </w:style>
  <w:style w:type="character" w:customStyle="1" w:styleId="27">
    <w:name w:val="标题 6 字符"/>
    <w:basedOn w:val="17"/>
    <w:link w:val="7"/>
    <w:autoRedefine/>
    <w:semiHidden/>
    <w:qFormat/>
    <w:uiPriority w:val="9"/>
    <w:rPr>
      <w:rFonts w:asciiTheme="majorHAnsi" w:hAnsiTheme="majorHAnsi" w:eastAsiaTheme="majorEastAsia" w:cstheme="majorBidi"/>
      <w:color w:val="70AD47" w:themeColor="accent6"/>
      <w14:textFill>
        <w14:solidFill>
          <w14:schemeClr w14:val="accent6"/>
        </w14:solidFill>
      </w14:textFill>
    </w:rPr>
  </w:style>
  <w:style w:type="character" w:customStyle="1" w:styleId="28">
    <w:name w:val="标题 7 字符"/>
    <w:basedOn w:val="17"/>
    <w:link w:val="8"/>
    <w:autoRedefine/>
    <w:semiHidden/>
    <w:qFormat/>
    <w:uiPriority w:val="9"/>
    <w:rPr>
      <w:rFonts w:asciiTheme="majorHAnsi" w:hAnsiTheme="majorHAnsi" w:eastAsiaTheme="majorEastAsia" w:cstheme="majorBidi"/>
      <w:b/>
      <w:bCs/>
      <w:color w:val="70AD47" w:themeColor="accent6"/>
      <w14:textFill>
        <w14:solidFill>
          <w14:schemeClr w14:val="accent6"/>
        </w14:solidFill>
      </w14:textFill>
    </w:rPr>
  </w:style>
  <w:style w:type="character" w:customStyle="1" w:styleId="29">
    <w:name w:val="标题 8 字符"/>
    <w:basedOn w:val="17"/>
    <w:link w:val="9"/>
    <w:autoRedefine/>
    <w:semiHidden/>
    <w:qFormat/>
    <w:uiPriority w:val="9"/>
    <w:rPr>
      <w:rFonts w:asciiTheme="majorHAnsi" w:hAnsiTheme="majorHAnsi" w:eastAsiaTheme="majorEastAsia" w:cstheme="majorBidi"/>
      <w:b/>
      <w:bCs/>
      <w:i/>
      <w:iCs/>
      <w:color w:val="70AD47" w:themeColor="accent6"/>
      <w:sz w:val="20"/>
      <w:szCs w:val="20"/>
      <w14:textFill>
        <w14:solidFill>
          <w14:schemeClr w14:val="accent6"/>
        </w14:solidFill>
      </w14:textFill>
    </w:rPr>
  </w:style>
  <w:style w:type="character" w:customStyle="1" w:styleId="30">
    <w:name w:val="标题 9 字符"/>
    <w:basedOn w:val="17"/>
    <w:link w:val="10"/>
    <w:autoRedefine/>
    <w:semiHidden/>
    <w:qFormat/>
    <w:uiPriority w:val="9"/>
    <w:rPr>
      <w:rFonts w:asciiTheme="majorHAnsi" w:hAnsiTheme="majorHAnsi" w:eastAsiaTheme="majorEastAsia" w:cstheme="majorBidi"/>
      <w:i/>
      <w:iCs/>
      <w:color w:val="70AD47" w:themeColor="accent6"/>
      <w:sz w:val="20"/>
      <w:szCs w:val="20"/>
      <w14:textFill>
        <w14:solidFill>
          <w14:schemeClr w14:val="accent6"/>
        </w14:solidFill>
      </w14:textFill>
    </w:rPr>
  </w:style>
  <w:style w:type="character" w:customStyle="1" w:styleId="31">
    <w:name w:val="标题 字符"/>
    <w:basedOn w:val="17"/>
    <w:link w:val="15"/>
    <w:autoRedefine/>
    <w:qFormat/>
    <w:uiPriority w:val="10"/>
    <w:rPr>
      <w:rFonts w:asciiTheme="majorHAnsi" w:hAnsiTheme="majorHAnsi" w:eastAsiaTheme="majorEastAsia" w:cstheme="majorBidi"/>
      <w:color w:val="262626" w:themeColor="text1" w:themeTint="D9"/>
      <w:spacing w:val="-15"/>
      <w:sz w:val="96"/>
      <w:szCs w:val="96"/>
      <w14:textFill>
        <w14:solidFill>
          <w14:schemeClr w14:val="tx1">
            <w14:lumMod w14:val="85000"/>
            <w14:lumOff w14:val="15000"/>
          </w14:schemeClr>
        </w14:solidFill>
      </w14:textFill>
    </w:rPr>
  </w:style>
  <w:style w:type="character" w:customStyle="1" w:styleId="32">
    <w:name w:val="副标题 字符"/>
    <w:basedOn w:val="17"/>
    <w:link w:val="14"/>
    <w:autoRedefine/>
    <w:qFormat/>
    <w:uiPriority w:val="11"/>
    <w:rPr>
      <w:rFonts w:asciiTheme="majorHAnsi" w:hAnsiTheme="majorHAnsi" w:eastAsiaTheme="majorEastAsia" w:cstheme="majorBidi"/>
      <w:sz w:val="30"/>
      <w:szCs w:val="30"/>
    </w:rPr>
  </w:style>
  <w:style w:type="paragraph" w:styleId="33">
    <w:name w:val="No Spacing"/>
    <w:qFormat/>
    <w:uiPriority w:val="1"/>
    <w:rPr>
      <w:rFonts w:asciiTheme="minorHAnsi" w:hAnsiTheme="minorHAnsi" w:eastAsiaTheme="minorEastAsia" w:cstheme="minorBidi"/>
      <w:sz w:val="21"/>
      <w:szCs w:val="21"/>
      <w:lang w:val="en-US" w:eastAsia="zh-CN" w:bidi="ar-SA"/>
    </w:rPr>
  </w:style>
  <w:style w:type="paragraph" w:styleId="34">
    <w:name w:val="Quote"/>
    <w:basedOn w:val="1"/>
    <w:next w:val="1"/>
    <w:link w:val="35"/>
    <w:qFormat/>
    <w:uiPriority w:val="29"/>
    <w:pPr>
      <w:spacing w:before="160"/>
      <w:ind w:left="720" w:right="720"/>
      <w:jc w:val="center"/>
    </w:pPr>
    <w:rPr>
      <w:i/>
      <w:iCs/>
      <w:color w:val="262626" w:themeColor="text1" w:themeTint="D9"/>
      <w14:textFill>
        <w14:solidFill>
          <w14:schemeClr w14:val="tx1">
            <w14:lumMod w14:val="85000"/>
            <w14:lumOff w14:val="15000"/>
          </w14:schemeClr>
        </w14:solidFill>
      </w14:textFill>
    </w:rPr>
  </w:style>
  <w:style w:type="character" w:customStyle="1" w:styleId="35">
    <w:name w:val="引用 字符"/>
    <w:basedOn w:val="17"/>
    <w:link w:val="34"/>
    <w:autoRedefine/>
    <w:qFormat/>
    <w:uiPriority w:val="29"/>
    <w:rPr>
      <w:i/>
      <w:iCs/>
      <w:color w:val="262626" w:themeColor="text1" w:themeTint="D9"/>
      <w14:textFill>
        <w14:solidFill>
          <w14:schemeClr w14:val="tx1">
            <w14:lumMod w14:val="85000"/>
            <w14:lumOff w14:val="15000"/>
          </w14:schemeClr>
        </w14:solidFill>
      </w14:textFill>
    </w:rPr>
  </w:style>
  <w:style w:type="paragraph" w:styleId="36">
    <w:name w:val="Intense Quote"/>
    <w:basedOn w:val="1"/>
    <w:next w:val="1"/>
    <w:link w:val="37"/>
    <w:autoRedefine/>
    <w:qFormat/>
    <w:uiPriority w:val="30"/>
    <w:pPr>
      <w:spacing w:before="160" w:after="160" w:line="264" w:lineRule="auto"/>
      <w:ind w:left="720" w:right="720"/>
      <w:jc w:val="center"/>
    </w:pPr>
    <w:rPr>
      <w:rFonts w:asciiTheme="majorHAnsi" w:hAnsiTheme="majorHAnsi" w:eastAsiaTheme="majorEastAsia" w:cstheme="majorBidi"/>
      <w:i/>
      <w:iCs/>
      <w:color w:val="70AD47" w:themeColor="accent6"/>
      <w:sz w:val="32"/>
      <w:szCs w:val="32"/>
      <w14:textFill>
        <w14:solidFill>
          <w14:schemeClr w14:val="accent6"/>
        </w14:solidFill>
      </w14:textFill>
    </w:rPr>
  </w:style>
  <w:style w:type="character" w:customStyle="1" w:styleId="37">
    <w:name w:val="明显引用 字符"/>
    <w:basedOn w:val="17"/>
    <w:link w:val="36"/>
    <w:autoRedefine/>
    <w:qFormat/>
    <w:uiPriority w:val="30"/>
    <w:rPr>
      <w:rFonts w:asciiTheme="majorHAnsi" w:hAnsiTheme="majorHAnsi" w:eastAsiaTheme="majorEastAsia" w:cstheme="majorBidi"/>
      <w:i/>
      <w:iCs/>
      <w:color w:val="70AD47" w:themeColor="accent6"/>
      <w:sz w:val="32"/>
      <w:szCs w:val="32"/>
      <w14:textFill>
        <w14:solidFill>
          <w14:schemeClr w14:val="accent6"/>
        </w14:solidFill>
      </w14:textFill>
    </w:rPr>
  </w:style>
  <w:style w:type="character" w:customStyle="1" w:styleId="38">
    <w:name w:val="不明显强调1"/>
    <w:basedOn w:val="17"/>
    <w:autoRedefine/>
    <w:qFormat/>
    <w:uiPriority w:val="19"/>
    <w:rPr>
      <w:i/>
      <w:iCs/>
    </w:rPr>
  </w:style>
  <w:style w:type="character" w:customStyle="1" w:styleId="39">
    <w:name w:val="明显强调1"/>
    <w:basedOn w:val="17"/>
    <w:autoRedefine/>
    <w:qFormat/>
    <w:uiPriority w:val="21"/>
    <w:rPr>
      <w:b/>
      <w:bCs/>
      <w:i/>
      <w:iCs/>
    </w:rPr>
  </w:style>
  <w:style w:type="character" w:customStyle="1" w:styleId="40">
    <w:name w:val="不明显参考1"/>
    <w:basedOn w:val="17"/>
    <w:autoRedefine/>
    <w:qFormat/>
    <w:uiPriority w:val="31"/>
    <w:rPr>
      <w:smallCaps/>
      <w:color w:val="595959" w:themeColor="text1" w:themeTint="A6"/>
      <w14:textFill>
        <w14:solidFill>
          <w14:schemeClr w14:val="tx1">
            <w14:lumMod w14:val="65000"/>
            <w14:lumOff w14:val="35000"/>
          </w14:schemeClr>
        </w14:solidFill>
      </w14:textFill>
    </w:rPr>
  </w:style>
  <w:style w:type="character" w:customStyle="1" w:styleId="41">
    <w:name w:val="明显参考1"/>
    <w:basedOn w:val="17"/>
    <w:autoRedefine/>
    <w:qFormat/>
    <w:uiPriority w:val="32"/>
    <w:rPr>
      <w:b/>
      <w:bCs/>
      <w:smallCaps/>
      <w:color w:val="70AD47" w:themeColor="accent6"/>
      <w14:textFill>
        <w14:solidFill>
          <w14:schemeClr w14:val="accent6"/>
        </w14:solidFill>
      </w14:textFill>
    </w:rPr>
  </w:style>
  <w:style w:type="character" w:customStyle="1" w:styleId="42">
    <w:name w:val="书籍标题1"/>
    <w:basedOn w:val="17"/>
    <w:autoRedefine/>
    <w:qFormat/>
    <w:uiPriority w:val="33"/>
    <w:rPr>
      <w:b/>
      <w:bCs/>
      <w:smallCaps/>
      <w:spacing w:val="7"/>
      <w:sz w:val="21"/>
      <w:szCs w:val="21"/>
    </w:rPr>
  </w:style>
  <w:style w:type="paragraph" w:customStyle="1" w:styleId="43">
    <w:name w:val="TOC 标题1"/>
    <w:basedOn w:val="2"/>
    <w:next w:val="1"/>
    <w:autoRedefine/>
    <w:semiHidden/>
    <w:unhideWhenUsed/>
    <w:qFormat/>
    <w:uiPriority w:val="39"/>
    <w:pPr>
      <w:outlineLvl w:val="9"/>
    </w:pPr>
  </w:style>
  <w:style w:type="paragraph" w:customStyle="1" w:styleId="4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45">
    <w:name w:val="一级条标题"/>
    <w:next w:val="44"/>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6">
    <w:name w:val="章标题"/>
    <w:next w:val="44"/>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7">
    <w:name w:val="标准书眉_奇数页"/>
    <w:next w:val="1"/>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4CEFC1-B3DF-4A63-ACD5-D718024FEC34}">
  <ds:schemaRefs/>
</ds:datastoreItem>
</file>

<file path=docProps/app.xml><?xml version="1.0" encoding="utf-8"?>
<Properties xmlns="http://schemas.openxmlformats.org/officeDocument/2006/extended-properties" xmlns:vt="http://schemas.openxmlformats.org/officeDocument/2006/docPropsVTypes">
  <Template>Normal</Template>
  <Company>JXAF</Company>
  <Pages>10</Pages>
  <Words>425</Words>
  <Characters>441</Characters>
  <Lines>2</Lines>
  <Paragraphs>8</Paragraphs>
  <TotalTime>1</TotalTime>
  <ScaleCrop>false</ScaleCrop>
  <LinksUpToDate>false</LinksUpToDate>
  <CharactersWithSpaces>443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2019-09-15T02:46:00Z</dcterms:created>
  <dc:creator>AutoBVT</dc:creator>
  <cp:lastModifiedBy>章挺</cp:lastModifiedBy>
  <dcterms:modified xsi:type="dcterms:W3CDTF">2025-08-31T09:08:30Z</dcterms:modified>
  <cp:revision>229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8007CBC222124B34ABF38EFAC79B4F70_12</vt:lpwstr>
  </property>
  <property fmtid="{D5CDD505-2E9C-101B-9397-08002B2CF9AE}" pid="4" name="KSOTemplateDocerSaveRecord">
    <vt:lpwstr>eyJoZGlkIjoiMGNiZGQxZDgyMWIxMjNmNjI5ZDdkN2Y1NDFlOWEzMWEiLCJ1c2VySWQiOiIxMTM0OTQyNDQ5In0=</vt:lpwstr>
  </property>
</Properties>
</file>